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1B3" w:rsidRDefault="00D76B69" w:rsidP="008021B3">
      <w:pPr>
        <w:pStyle w:val="Heading2"/>
        <w:rPr>
          <w:b/>
          <w:bCs/>
          <w:sz w:val="36"/>
          <w:szCs w:val="36"/>
        </w:rPr>
      </w:pPr>
      <w:r>
        <w:rPr>
          <w:b/>
          <w:bCs/>
          <w:sz w:val="36"/>
          <w:szCs w:val="36"/>
        </w:rPr>
        <w:t>HERRING, Leslie George</w:t>
      </w:r>
    </w:p>
    <w:p w:rsidR="008021B3" w:rsidRDefault="008021B3" w:rsidP="008021B3">
      <w:pPr>
        <w:spacing w:after="0"/>
        <w:rPr>
          <w:rFonts w:cstheme="minorHAnsi"/>
          <w:sz w:val="24"/>
          <w:szCs w:val="24"/>
        </w:rPr>
      </w:pPr>
    </w:p>
    <w:p w:rsidR="00BC0BE2" w:rsidRDefault="00BC0BE2" w:rsidP="008021B3">
      <w:pPr>
        <w:spacing w:after="0"/>
        <w:rPr>
          <w:rFonts w:cstheme="minorHAnsi"/>
          <w:sz w:val="24"/>
          <w:szCs w:val="24"/>
        </w:rPr>
      </w:pPr>
      <w:r>
        <w:rPr>
          <w:rFonts w:cstheme="minorHAnsi"/>
          <w:sz w:val="24"/>
          <w:szCs w:val="24"/>
        </w:rPr>
        <w:t>[‘Leslie’ occasionally spelt as ‘Lesley’</w:t>
      </w:r>
      <w:bookmarkStart w:id="0" w:name="_GoBack"/>
      <w:bookmarkEnd w:id="0"/>
      <w:r>
        <w:rPr>
          <w:rFonts w:cstheme="minorHAnsi"/>
          <w:sz w:val="24"/>
          <w:szCs w:val="24"/>
        </w:rPr>
        <w:t>]</w:t>
      </w:r>
    </w:p>
    <w:p w:rsidR="00BC0BE2" w:rsidRDefault="00BC0BE2" w:rsidP="008021B3">
      <w:pPr>
        <w:spacing w:after="0"/>
        <w:rPr>
          <w:rFonts w:cstheme="minorHAnsi"/>
          <w:sz w:val="24"/>
          <w:szCs w:val="24"/>
        </w:rPr>
      </w:pPr>
    </w:p>
    <w:p w:rsidR="00DB436A" w:rsidRPr="00DB436A" w:rsidRDefault="00DB436A" w:rsidP="008021B3">
      <w:pPr>
        <w:spacing w:after="0"/>
        <w:rPr>
          <w:rFonts w:cstheme="minorHAnsi"/>
          <w:sz w:val="24"/>
          <w:szCs w:val="24"/>
        </w:rPr>
      </w:pPr>
      <w:r w:rsidRPr="00DB436A">
        <w:rPr>
          <w:rFonts w:cstheme="minorHAnsi"/>
          <w:sz w:val="24"/>
          <w:szCs w:val="24"/>
        </w:rPr>
        <w:t>Leslie George Herring was born on 21</w:t>
      </w:r>
      <w:r w:rsidRPr="00DB436A">
        <w:rPr>
          <w:rFonts w:cstheme="minorHAnsi"/>
          <w:sz w:val="24"/>
          <w:szCs w:val="24"/>
          <w:vertAlign w:val="superscript"/>
        </w:rPr>
        <w:t>st</w:t>
      </w:r>
      <w:r w:rsidRPr="00DB436A">
        <w:rPr>
          <w:rFonts w:cstheme="minorHAnsi"/>
          <w:sz w:val="24"/>
          <w:szCs w:val="24"/>
        </w:rPr>
        <w:t xml:space="preserve"> February 1846, at Balmain, Sydney, and baptised on 26</w:t>
      </w:r>
      <w:r w:rsidRPr="00DB436A">
        <w:rPr>
          <w:rFonts w:cstheme="minorHAnsi"/>
          <w:sz w:val="24"/>
          <w:szCs w:val="24"/>
          <w:vertAlign w:val="superscript"/>
        </w:rPr>
        <w:t>th</w:t>
      </w:r>
      <w:r w:rsidRPr="00DB436A">
        <w:rPr>
          <w:rFonts w:cstheme="minorHAnsi"/>
          <w:sz w:val="24"/>
          <w:szCs w:val="24"/>
        </w:rPr>
        <w:t xml:space="preserve"> April 1846 at St</w:t>
      </w:r>
      <w:r w:rsidR="00D67C25">
        <w:rPr>
          <w:rFonts w:cstheme="minorHAnsi"/>
          <w:sz w:val="24"/>
          <w:szCs w:val="24"/>
        </w:rPr>
        <w:t>.</w:t>
      </w:r>
      <w:r w:rsidRPr="00DB436A">
        <w:rPr>
          <w:rFonts w:cstheme="minorHAnsi"/>
          <w:sz w:val="24"/>
          <w:szCs w:val="24"/>
        </w:rPr>
        <w:t xml:space="preserve"> John’s</w:t>
      </w:r>
      <w:r w:rsidR="00D67C25">
        <w:rPr>
          <w:rFonts w:cstheme="minorHAnsi"/>
          <w:sz w:val="24"/>
          <w:szCs w:val="24"/>
        </w:rPr>
        <w:t>,</w:t>
      </w:r>
      <w:r w:rsidRPr="00DB436A">
        <w:rPr>
          <w:rFonts w:cstheme="minorHAnsi"/>
          <w:sz w:val="24"/>
          <w:szCs w:val="24"/>
        </w:rPr>
        <w:t xml:space="preserve"> Ashfield.</w:t>
      </w:r>
    </w:p>
    <w:p w:rsidR="00DB436A" w:rsidRPr="00DB436A" w:rsidRDefault="00DB436A" w:rsidP="008021B3">
      <w:pPr>
        <w:spacing w:after="0"/>
        <w:rPr>
          <w:rFonts w:cstheme="minorHAnsi"/>
          <w:sz w:val="24"/>
          <w:szCs w:val="24"/>
        </w:rPr>
      </w:pPr>
      <w:r w:rsidRPr="00DB436A">
        <w:rPr>
          <w:rFonts w:cstheme="minorHAnsi"/>
          <w:sz w:val="24"/>
          <w:szCs w:val="24"/>
        </w:rPr>
        <w:t>His parents were Joseph (1813-1899) and Emily Ann (nee Potts; 1829-1892) Herring.</w:t>
      </w:r>
    </w:p>
    <w:p w:rsidR="00DB436A" w:rsidRPr="00DB436A" w:rsidRDefault="00DB436A" w:rsidP="008021B3">
      <w:pPr>
        <w:spacing w:after="0"/>
        <w:rPr>
          <w:rFonts w:cstheme="minorHAnsi"/>
          <w:sz w:val="24"/>
          <w:szCs w:val="24"/>
        </w:rPr>
      </w:pPr>
    </w:p>
    <w:p w:rsidR="006C6856" w:rsidRDefault="00D76B69" w:rsidP="00D76B69">
      <w:pPr>
        <w:spacing w:after="0"/>
        <w:rPr>
          <w:rFonts w:cstheme="minorHAnsi"/>
          <w:sz w:val="24"/>
          <w:szCs w:val="24"/>
        </w:rPr>
      </w:pPr>
      <w:r w:rsidRPr="00DB436A">
        <w:rPr>
          <w:rFonts w:cstheme="minorHAnsi"/>
          <w:sz w:val="24"/>
          <w:szCs w:val="24"/>
        </w:rPr>
        <w:t>In 1873 Leslie Herring married Kate Emily Tucker, in Sydney.</w:t>
      </w:r>
    </w:p>
    <w:p w:rsidR="001F5D12" w:rsidRPr="00727F9D" w:rsidRDefault="001F5D12" w:rsidP="001F5D12">
      <w:pPr>
        <w:spacing w:after="0"/>
        <w:rPr>
          <w:color w:val="000000"/>
          <w:sz w:val="24"/>
          <w:szCs w:val="24"/>
        </w:rPr>
      </w:pPr>
      <w:r>
        <w:rPr>
          <w:color w:val="000000"/>
          <w:sz w:val="24"/>
          <w:szCs w:val="24"/>
        </w:rPr>
        <w:t>‘</w:t>
      </w:r>
      <w:r w:rsidRPr="00727F9D">
        <w:rPr>
          <w:color w:val="000000"/>
          <w:sz w:val="24"/>
          <w:szCs w:val="24"/>
        </w:rPr>
        <w:t>HERRING—TUCKER—September 18, at St. John's Church, Darlinghurst, by the Rev. Thomas Hayden, Leslie Herring, to Kate Emily, second daughter of James Cawley Tucker.</w:t>
      </w:r>
      <w:r>
        <w:rPr>
          <w:color w:val="000000"/>
          <w:sz w:val="24"/>
          <w:szCs w:val="24"/>
        </w:rPr>
        <w:t>’</w:t>
      </w:r>
    </w:p>
    <w:p w:rsidR="001F5D12" w:rsidRDefault="00132E67" w:rsidP="00D76B69">
      <w:pPr>
        <w:spacing w:after="0"/>
        <w:rPr>
          <w:rFonts w:cstheme="minorHAnsi"/>
          <w:sz w:val="24"/>
          <w:szCs w:val="24"/>
        </w:rPr>
      </w:pPr>
      <w:r>
        <w:rPr>
          <w:rFonts w:cstheme="minorHAnsi"/>
          <w:sz w:val="24"/>
          <w:szCs w:val="24"/>
        </w:rPr>
        <w:t>Kate was born in 1852</w:t>
      </w:r>
      <w:r w:rsidR="004355BB">
        <w:rPr>
          <w:rFonts w:cstheme="minorHAnsi"/>
          <w:sz w:val="24"/>
          <w:szCs w:val="24"/>
        </w:rPr>
        <w:t>, in Sydney.</w:t>
      </w:r>
      <w:r w:rsidR="001F5D12">
        <w:rPr>
          <w:rFonts w:cstheme="minorHAnsi"/>
          <w:sz w:val="24"/>
          <w:szCs w:val="24"/>
        </w:rPr>
        <w:t xml:space="preserve"> </w:t>
      </w:r>
    </w:p>
    <w:p w:rsidR="00D76B69" w:rsidRPr="00E72D04" w:rsidRDefault="001F5D12" w:rsidP="00D76B69">
      <w:pPr>
        <w:spacing w:after="0"/>
        <w:rPr>
          <w:rFonts w:cstheme="minorHAnsi"/>
          <w:sz w:val="24"/>
          <w:szCs w:val="24"/>
          <w:vertAlign w:val="superscript"/>
        </w:rPr>
      </w:pPr>
      <w:r>
        <w:rPr>
          <w:rFonts w:cstheme="minorHAnsi"/>
          <w:sz w:val="24"/>
          <w:szCs w:val="24"/>
        </w:rPr>
        <w:t>She was the sister of Charles Churchill Tucker, also a long-term resident of Beecroft.</w:t>
      </w:r>
      <w:r w:rsidR="00E72D04" w:rsidRPr="00EE50A1">
        <w:rPr>
          <w:rFonts w:cstheme="minorHAnsi"/>
          <w:b/>
          <w:sz w:val="24"/>
          <w:szCs w:val="24"/>
          <w:vertAlign w:val="superscript"/>
        </w:rPr>
        <w:t>1</w:t>
      </w:r>
    </w:p>
    <w:p w:rsidR="004355BB" w:rsidRDefault="004355BB" w:rsidP="00D76B69">
      <w:pPr>
        <w:spacing w:after="0"/>
        <w:rPr>
          <w:rFonts w:cstheme="minorHAnsi"/>
          <w:sz w:val="24"/>
          <w:szCs w:val="24"/>
        </w:rPr>
      </w:pPr>
    </w:p>
    <w:p w:rsidR="00132E67" w:rsidRDefault="00132E67" w:rsidP="00D76B69">
      <w:pPr>
        <w:spacing w:after="0"/>
        <w:rPr>
          <w:rFonts w:cstheme="minorHAnsi"/>
          <w:sz w:val="24"/>
          <w:szCs w:val="24"/>
        </w:rPr>
      </w:pPr>
      <w:r>
        <w:rPr>
          <w:rFonts w:cstheme="minorHAnsi"/>
          <w:sz w:val="24"/>
          <w:szCs w:val="24"/>
        </w:rPr>
        <w:t>Children of the marriage were:</w:t>
      </w:r>
    </w:p>
    <w:p w:rsidR="004355BB" w:rsidRDefault="004355BB" w:rsidP="00D76B69">
      <w:pPr>
        <w:spacing w:after="0"/>
        <w:rPr>
          <w:rFonts w:cstheme="minorHAnsi"/>
          <w:sz w:val="24"/>
          <w:szCs w:val="24"/>
        </w:rPr>
      </w:pPr>
      <w:r>
        <w:rPr>
          <w:rFonts w:cstheme="minorHAnsi"/>
          <w:sz w:val="24"/>
          <w:szCs w:val="24"/>
        </w:rPr>
        <w:t>12</w:t>
      </w:r>
      <w:r w:rsidRPr="004355BB">
        <w:rPr>
          <w:rFonts w:cstheme="minorHAnsi"/>
          <w:sz w:val="24"/>
          <w:szCs w:val="24"/>
          <w:vertAlign w:val="superscript"/>
        </w:rPr>
        <w:t>th</w:t>
      </w:r>
      <w:r>
        <w:rPr>
          <w:rFonts w:cstheme="minorHAnsi"/>
          <w:sz w:val="24"/>
          <w:szCs w:val="24"/>
        </w:rPr>
        <w:t xml:space="preserve"> July 1874 – Mabel Kate, </w:t>
      </w:r>
      <w:r w:rsidR="00E72D04">
        <w:rPr>
          <w:rFonts w:cstheme="minorHAnsi"/>
          <w:sz w:val="24"/>
          <w:szCs w:val="24"/>
        </w:rPr>
        <w:t xml:space="preserve">Milson’s Point, </w:t>
      </w:r>
      <w:r>
        <w:rPr>
          <w:rFonts w:cstheme="minorHAnsi"/>
          <w:sz w:val="24"/>
          <w:szCs w:val="24"/>
        </w:rPr>
        <w:t>Sydney [died 1942]</w:t>
      </w:r>
    </w:p>
    <w:p w:rsidR="004355BB" w:rsidRDefault="004355BB" w:rsidP="00D76B69">
      <w:pPr>
        <w:spacing w:after="0"/>
        <w:rPr>
          <w:rFonts w:cstheme="minorHAnsi"/>
          <w:sz w:val="24"/>
          <w:szCs w:val="24"/>
        </w:rPr>
      </w:pPr>
      <w:r>
        <w:rPr>
          <w:rFonts w:cstheme="minorHAnsi"/>
          <w:sz w:val="24"/>
          <w:szCs w:val="24"/>
        </w:rPr>
        <w:t>1</w:t>
      </w:r>
      <w:r w:rsidRPr="004355BB">
        <w:rPr>
          <w:rFonts w:cstheme="minorHAnsi"/>
          <w:sz w:val="24"/>
          <w:szCs w:val="24"/>
          <w:vertAlign w:val="superscript"/>
        </w:rPr>
        <w:t>st</w:t>
      </w:r>
      <w:r>
        <w:rPr>
          <w:rFonts w:cstheme="minorHAnsi"/>
          <w:sz w:val="24"/>
          <w:szCs w:val="24"/>
        </w:rPr>
        <w:t xml:space="preserve"> September 1875 – Leslie G</w:t>
      </w:r>
      <w:r w:rsidR="001F5D12">
        <w:rPr>
          <w:rFonts w:cstheme="minorHAnsi"/>
          <w:sz w:val="24"/>
          <w:szCs w:val="24"/>
        </w:rPr>
        <w:t>uy,</w:t>
      </w:r>
      <w:r>
        <w:rPr>
          <w:rFonts w:cstheme="minorHAnsi"/>
          <w:sz w:val="24"/>
          <w:szCs w:val="24"/>
        </w:rPr>
        <w:t xml:space="preserve"> </w:t>
      </w:r>
      <w:r w:rsidR="00E72D04">
        <w:rPr>
          <w:rFonts w:cstheme="minorHAnsi"/>
          <w:sz w:val="24"/>
          <w:szCs w:val="24"/>
        </w:rPr>
        <w:t xml:space="preserve">Milson’s Point, </w:t>
      </w:r>
      <w:r>
        <w:rPr>
          <w:rFonts w:cstheme="minorHAnsi"/>
          <w:sz w:val="24"/>
          <w:szCs w:val="24"/>
        </w:rPr>
        <w:t>Sydney [died 13</w:t>
      </w:r>
      <w:r w:rsidRPr="004355BB">
        <w:rPr>
          <w:rFonts w:cstheme="minorHAnsi"/>
          <w:sz w:val="24"/>
          <w:szCs w:val="24"/>
          <w:vertAlign w:val="superscript"/>
        </w:rPr>
        <w:t>th</w:t>
      </w:r>
      <w:r>
        <w:rPr>
          <w:rFonts w:cstheme="minorHAnsi"/>
          <w:sz w:val="24"/>
          <w:szCs w:val="24"/>
        </w:rPr>
        <w:t xml:space="preserve"> July 1876]</w:t>
      </w:r>
    </w:p>
    <w:p w:rsidR="00132E67" w:rsidRDefault="00132E67" w:rsidP="00D76B69">
      <w:pPr>
        <w:spacing w:after="0"/>
        <w:rPr>
          <w:rFonts w:cstheme="minorHAnsi"/>
          <w:sz w:val="24"/>
          <w:szCs w:val="24"/>
        </w:rPr>
      </w:pPr>
      <w:r>
        <w:rPr>
          <w:rFonts w:cstheme="minorHAnsi"/>
          <w:sz w:val="24"/>
          <w:szCs w:val="24"/>
        </w:rPr>
        <w:t>29</w:t>
      </w:r>
      <w:r w:rsidRPr="00132E67">
        <w:rPr>
          <w:rFonts w:cstheme="minorHAnsi"/>
          <w:sz w:val="24"/>
          <w:szCs w:val="24"/>
          <w:vertAlign w:val="superscript"/>
        </w:rPr>
        <w:t>th</w:t>
      </w:r>
      <w:r>
        <w:rPr>
          <w:rFonts w:cstheme="minorHAnsi"/>
          <w:sz w:val="24"/>
          <w:szCs w:val="24"/>
        </w:rPr>
        <w:t xml:space="preserve"> December 1876 </w:t>
      </w:r>
      <w:r w:rsidR="004355BB">
        <w:rPr>
          <w:rFonts w:cstheme="minorHAnsi"/>
          <w:sz w:val="24"/>
          <w:szCs w:val="24"/>
        </w:rPr>
        <w:t xml:space="preserve">- </w:t>
      </w:r>
      <w:r>
        <w:rPr>
          <w:rFonts w:cstheme="minorHAnsi"/>
          <w:sz w:val="24"/>
          <w:szCs w:val="24"/>
        </w:rPr>
        <w:t>Edgar Maule, Milson’s Point, Sydney [died 1976]</w:t>
      </w:r>
    </w:p>
    <w:p w:rsidR="00132E67" w:rsidRDefault="004355BB" w:rsidP="00D76B69">
      <w:pPr>
        <w:spacing w:after="0"/>
        <w:rPr>
          <w:rFonts w:cstheme="minorHAnsi"/>
          <w:sz w:val="24"/>
          <w:szCs w:val="24"/>
        </w:rPr>
      </w:pPr>
      <w:r>
        <w:rPr>
          <w:rFonts w:cstheme="minorHAnsi"/>
          <w:sz w:val="24"/>
          <w:szCs w:val="24"/>
        </w:rPr>
        <w:t>17</w:t>
      </w:r>
      <w:r w:rsidRPr="004355BB">
        <w:rPr>
          <w:rFonts w:cstheme="minorHAnsi"/>
          <w:sz w:val="24"/>
          <w:szCs w:val="24"/>
          <w:vertAlign w:val="superscript"/>
        </w:rPr>
        <w:t>th</w:t>
      </w:r>
      <w:r>
        <w:rPr>
          <w:rFonts w:cstheme="minorHAnsi"/>
          <w:sz w:val="24"/>
          <w:szCs w:val="24"/>
        </w:rPr>
        <w:t xml:space="preserve"> February </w:t>
      </w:r>
      <w:r w:rsidR="00132E67">
        <w:rPr>
          <w:rFonts w:cstheme="minorHAnsi"/>
          <w:sz w:val="24"/>
          <w:szCs w:val="24"/>
        </w:rPr>
        <w:t xml:space="preserve">1878 </w:t>
      </w:r>
      <w:r>
        <w:rPr>
          <w:rFonts w:cstheme="minorHAnsi"/>
          <w:sz w:val="24"/>
          <w:szCs w:val="24"/>
        </w:rPr>
        <w:t xml:space="preserve">- </w:t>
      </w:r>
      <w:r w:rsidR="00132E67">
        <w:rPr>
          <w:rFonts w:cstheme="minorHAnsi"/>
          <w:sz w:val="24"/>
          <w:szCs w:val="24"/>
        </w:rPr>
        <w:t>Albert Everard [died 1967]</w:t>
      </w:r>
    </w:p>
    <w:p w:rsidR="001F5D12" w:rsidRDefault="004355BB" w:rsidP="00D76B69">
      <w:pPr>
        <w:spacing w:after="0"/>
        <w:rPr>
          <w:rFonts w:cstheme="minorHAnsi"/>
          <w:sz w:val="24"/>
          <w:szCs w:val="24"/>
        </w:rPr>
      </w:pPr>
      <w:r>
        <w:rPr>
          <w:rFonts w:cstheme="minorHAnsi"/>
          <w:sz w:val="24"/>
          <w:szCs w:val="24"/>
        </w:rPr>
        <w:t>20</w:t>
      </w:r>
      <w:r w:rsidRPr="004355BB">
        <w:rPr>
          <w:rFonts w:cstheme="minorHAnsi"/>
          <w:sz w:val="24"/>
          <w:szCs w:val="24"/>
          <w:vertAlign w:val="superscript"/>
        </w:rPr>
        <w:t>th</w:t>
      </w:r>
      <w:r>
        <w:rPr>
          <w:rFonts w:cstheme="minorHAnsi"/>
          <w:sz w:val="24"/>
          <w:szCs w:val="24"/>
        </w:rPr>
        <w:t xml:space="preserve"> June </w:t>
      </w:r>
      <w:r w:rsidR="00132E67">
        <w:rPr>
          <w:rFonts w:cstheme="minorHAnsi"/>
          <w:sz w:val="24"/>
          <w:szCs w:val="24"/>
        </w:rPr>
        <w:t xml:space="preserve">1879 </w:t>
      </w:r>
      <w:r>
        <w:rPr>
          <w:rFonts w:cstheme="minorHAnsi"/>
          <w:sz w:val="24"/>
          <w:szCs w:val="24"/>
        </w:rPr>
        <w:t xml:space="preserve">- </w:t>
      </w:r>
      <w:r w:rsidR="00132E67">
        <w:rPr>
          <w:rFonts w:cstheme="minorHAnsi"/>
          <w:sz w:val="24"/>
          <w:szCs w:val="24"/>
        </w:rPr>
        <w:t>Nigel Reep, at St. Leonards, Sydney [died 1953]</w:t>
      </w:r>
      <w:r w:rsidR="001F5D12">
        <w:rPr>
          <w:rFonts w:cstheme="minorHAnsi"/>
          <w:sz w:val="24"/>
          <w:szCs w:val="24"/>
        </w:rPr>
        <w:t xml:space="preserve"> </w:t>
      </w:r>
    </w:p>
    <w:p w:rsidR="00132E67" w:rsidRPr="00E72D04" w:rsidRDefault="001F5D12" w:rsidP="00D76B69">
      <w:pPr>
        <w:spacing w:after="0"/>
        <w:rPr>
          <w:rFonts w:cstheme="minorHAnsi"/>
          <w:sz w:val="24"/>
          <w:szCs w:val="24"/>
          <w:vertAlign w:val="superscript"/>
        </w:rPr>
      </w:pPr>
      <w:r>
        <w:rPr>
          <w:rFonts w:cstheme="minorHAnsi"/>
          <w:sz w:val="24"/>
          <w:szCs w:val="24"/>
        </w:rPr>
        <w:t>[The name ‘Reep’ comes from the maiden name of Kate’s mother]</w:t>
      </w:r>
      <w:r w:rsidR="00EE50A1">
        <w:rPr>
          <w:rFonts w:cstheme="minorHAnsi"/>
          <w:sz w:val="24"/>
          <w:szCs w:val="24"/>
        </w:rPr>
        <w:t xml:space="preserve"> </w:t>
      </w:r>
      <w:r w:rsidR="00E72D04" w:rsidRPr="00EE50A1">
        <w:rPr>
          <w:rFonts w:cstheme="minorHAnsi"/>
          <w:b/>
          <w:sz w:val="24"/>
          <w:szCs w:val="24"/>
          <w:vertAlign w:val="superscript"/>
        </w:rPr>
        <w:t>2</w:t>
      </w:r>
    </w:p>
    <w:p w:rsidR="00E72D04" w:rsidRDefault="00E72D04" w:rsidP="00D76B69">
      <w:pPr>
        <w:spacing w:after="0"/>
        <w:rPr>
          <w:rFonts w:cstheme="minorHAnsi"/>
          <w:sz w:val="24"/>
          <w:szCs w:val="24"/>
        </w:rPr>
      </w:pPr>
    </w:p>
    <w:p w:rsidR="00D76B69" w:rsidRPr="00DB436A" w:rsidRDefault="00D76B69" w:rsidP="00D76B69">
      <w:pPr>
        <w:spacing w:after="0"/>
        <w:rPr>
          <w:rFonts w:cstheme="minorHAnsi"/>
          <w:sz w:val="24"/>
          <w:szCs w:val="24"/>
        </w:rPr>
      </w:pPr>
      <w:r w:rsidRPr="00DB436A">
        <w:rPr>
          <w:rFonts w:cstheme="minorHAnsi"/>
          <w:sz w:val="24"/>
          <w:szCs w:val="24"/>
        </w:rPr>
        <w:t>In April 1891 the Beecroft Nursery, advertised ‘Clean, Healthy, and Well-grown ORANGE, LEMON, and SUMMER FRUIT.  All Apples worked on blight-proof stocks.  ORNAMENTAL TREES, SHRUBS, and Flowering Plants. Also, a choice lot of Vegetable and Flower Seeds.’</w:t>
      </w:r>
    </w:p>
    <w:p w:rsidR="00D76B69" w:rsidRPr="00DB436A" w:rsidRDefault="00D76B69" w:rsidP="00D76B69">
      <w:pPr>
        <w:spacing w:after="0"/>
        <w:rPr>
          <w:rFonts w:cstheme="minorHAnsi"/>
          <w:sz w:val="24"/>
          <w:szCs w:val="24"/>
        </w:rPr>
      </w:pPr>
      <w:r w:rsidRPr="00DB436A">
        <w:rPr>
          <w:rFonts w:cstheme="minorHAnsi"/>
          <w:sz w:val="24"/>
          <w:szCs w:val="24"/>
        </w:rPr>
        <w:t xml:space="preserve">The nursery was managed by G. B. Moran who had previously owned Waratah Nursery at Pennant Hills, however Leslie Herring and G. B. Moran each had a ½ share in the </w:t>
      </w:r>
      <w:r w:rsidR="00D67C25">
        <w:rPr>
          <w:rFonts w:cstheme="minorHAnsi"/>
          <w:sz w:val="24"/>
          <w:szCs w:val="24"/>
        </w:rPr>
        <w:t>Beecroft Nursery</w:t>
      </w:r>
      <w:r w:rsidRPr="00DB436A">
        <w:rPr>
          <w:rFonts w:cstheme="minorHAnsi"/>
          <w:sz w:val="24"/>
          <w:szCs w:val="24"/>
        </w:rPr>
        <w:t>.</w:t>
      </w:r>
    </w:p>
    <w:p w:rsidR="00D76B69" w:rsidRPr="00E72D04" w:rsidRDefault="00D76B69" w:rsidP="00D76B69">
      <w:pPr>
        <w:spacing w:after="0"/>
        <w:rPr>
          <w:rFonts w:cstheme="minorHAnsi"/>
          <w:sz w:val="24"/>
          <w:szCs w:val="24"/>
          <w:vertAlign w:val="superscript"/>
        </w:rPr>
      </w:pPr>
      <w:r w:rsidRPr="00DB436A">
        <w:rPr>
          <w:rFonts w:cstheme="minorHAnsi"/>
          <w:sz w:val="24"/>
          <w:szCs w:val="24"/>
        </w:rPr>
        <w:t>By January 1893</w:t>
      </w:r>
      <w:r w:rsidR="00D34A0D" w:rsidRPr="00DB436A">
        <w:rPr>
          <w:rFonts w:cstheme="minorHAnsi"/>
          <w:sz w:val="24"/>
          <w:szCs w:val="24"/>
        </w:rPr>
        <w:t xml:space="preserve"> the nursery was flourishing, with some 34 acres of orchard land under cultivation. There were large numbers of well-selected and carefully imported stock trees, from San Francisco, Japan, and other countries. They also planted poplars and other trees in the streets. </w:t>
      </w:r>
      <w:r w:rsidR="00714199" w:rsidRPr="00DB436A">
        <w:rPr>
          <w:rFonts w:cstheme="minorHAnsi"/>
          <w:sz w:val="24"/>
          <w:szCs w:val="24"/>
        </w:rPr>
        <w:t>Mr. Moran lived at Pennant Hills; Mr. Herring lived at Hunter’s Hill.</w:t>
      </w:r>
      <w:r w:rsidR="00E72D04" w:rsidRPr="00EE50A1">
        <w:rPr>
          <w:rFonts w:cstheme="minorHAnsi"/>
          <w:b/>
          <w:sz w:val="24"/>
          <w:szCs w:val="24"/>
          <w:vertAlign w:val="superscript"/>
        </w:rPr>
        <w:t>3</w:t>
      </w:r>
    </w:p>
    <w:p w:rsidR="00D76B69" w:rsidRPr="00DB436A" w:rsidRDefault="00D76B69" w:rsidP="00D76B69">
      <w:pPr>
        <w:spacing w:after="0"/>
        <w:rPr>
          <w:rFonts w:cstheme="minorHAnsi"/>
          <w:bCs/>
          <w:sz w:val="24"/>
          <w:szCs w:val="24"/>
        </w:rPr>
      </w:pPr>
    </w:p>
    <w:p w:rsidR="00D76B69" w:rsidRPr="00E72D04" w:rsidRDefault="00D34A0D" w:rsidP="00D76B69">
      <w:pPr>
        <w:spacing w:after="0"/>
        <w:rPr>
          <w:rFonts w:cstheme="minorHAnsi"/>
          <w:sz w:val="24"/>
          <w:szCs w:val="24"/>
          <w:vertAlign w:val="superscript"/>
        </w:rPr>
      </w:pPr>
      <w:r w:rsidRPr="00DB436A">
        <w:rPr>
          <w:rFonts w:cstheme="minorHAnsi"/>
          <w:sz w:val="24"/>
          <w:szCs w:val="24"/>
        </w:rPr>
        <w:t xml:space="preserve">In July 1893 Mr. Herring, through his manager, Mr. Moran, sent from the Beecroft orchard, ten cases of lemons to San Francisco, per the S.S. </w:t>
      </w:r>
      <w:r w:rsidRPr="00DB436A">
        <w:rPr>
          <w:rFonts w:cstheme="minorHAnsi"/>
          <w:i/>
          <w:sz w:val="24"/>
          <w:szCs w:val="24"/>
        </w:rPr>
        <w:t>Miowera</w:t>
      </w:r>
      <w:r w:rsidRPr="00DB436A">
        <w:rPr>
          <w:rFonts w:cstheme="minorHAnsi"/>
          <w:sz w:val="24"/>
          <w:szCs w:val="24"/>
        </w:rPr>
        <w:t xml:space="preserve">, </w:t>
      </w:r>
      <w:r w:rsidR="00E72D04">
        <w:rPr>
          <w:rFonts w:cstheme="minorHAnsi"/>
          <w:sz w:val="24"/>
          <w:szCs w:val="24"/>
        </w:rPr>
        <w:t>as a trial shipment.</w:t>
      </w:r>
      <w:r w:rsidR="00E72D04">
        <w:rPr>
          <w:rFonts w:cstheme="minorHAnsi"/>
          <w:sz w:val="24"/>
          <w:szCs w:val="24"/>
          <w:vertAlign w:val="superscript"/>
        </w:rPr>
        <w:t>4</w:t>
      </w:r>
    </w:p>
    <w:p w:rsidR="00D34A0D" w:rsidRPr="00DB436A" w:rsidRDefault="00D34A0D" w:rsidP="00D76B69">
      <w:pPr>
        <w:spacing w:after="0"/>
        <w:rPr>
          <w:rFonts w:cstheme="minorHAnsi"/>
          <w:sz w:val="24"/>
          <w:szCs w:val="24"/>
        </w:rPr>
      </w:pPr>
    </w:p>
    <w:p w:rsidR="00D34A0D" w:rsidRPr="00E72D04" w:rsidRDefault="00D34A0D" w:rsidP="00D76B69">
      <w:pPr>
        <w:spacing w:after="0"/>
        <w:rPr>
          <w:rFonts w:cstheme="minorHAnsi"/>
          <w:sz w:val="24"/>
          <w:szCs w:val="24"/>
          <w:vertAlign w:val="superscript"/>
        </w:rPr>
      </w:pPr>
      <w:r w:rsidRPr="00DB436A">
        <w:rPr>
          <w:rFonts w:cstheme="minorHAnsi"/>
          <w:sz w:val="24"/>
          <w:szCs w:val="24"/>
        </w:rPr>
        <w:t xml:space="preserve">In August 1894 it was reported that </w:t>
      </w:r>
      <w:r w:rsidR="003F7BD8" w:rsidRPr="00DB436A">
        <w:rPr>
          <w:rFonts w:cstheme="minorHAnsi"/>
          <w:sz w:val="24"/>
          <w:szCs w:val="24"/>
        </w:rPr>
        <w:t>‘</w:t>
      </w:r>
      <w:r w:rsidRPr="00DB436A">
        <w:rPr>
          <w:rFonts w:cstheme="minorHAnsi"/>
          <w:sz w:val="24"/>
          <w:szCs w:val="24"/>
        </w:rPr>
        <w:t>This grand estate</w:t>
      </w:r>
      <w:r w:rsidR="003F7BD8" w:rsidRPr="00DB436A">
        <w:rPr>
          <w:rFonts w:cstheme="minorHAnsi"/>
          <w:sz w:val="24"/>
          <w:szCs w:val="24"/>
        </w:rPr>
        <w:t xml:space="preserve"> [Beecroft Nursery]</w:t>
      </w:r>
      <w:r w:rsidRPr="00DB436A">
        <w:rPr>
          <w:rFonts w:cstheme="minorHAnsi"/>
          <w:sz w:val="24"/>
          <w:szCs w:val="24"/>
        </w:rPr>
        <w:t>, the property of Mr</w:t>
      </w:r>
      <w:r w:rsidRPr="00DB436A">
        <w:rPr>
          <w:rFonts w:cstheme="minorHAnsi"/>
          <w:bCs/>
          <w:sz w:val="24"/>
          <w:szCs w:val="24"/>
        </w:rPr>
        <w:t>. Leslie Herring</w:t>
      </w:r>
      <w:r w:rsidRPr="00DB436A">
        <w:rPr>
          <w:rFonts w:cstheme="minorHAnsi"/>
          <w:sz w:val="24"/>
          <w:szCs w:val="24"/>
        </w:rPr>
        <w:t>, is now well worth a visit, and the enthusiastic manager, G. B. Moran, is</w:t>
      </w:r>
      <w:r w:rsidR="00E72D04">
        <w:rPr>
          <w:rFonts w:cstheme="minorHAnsi"/>
          <w:sz w:val="24"/>
          <w:szCs w:val="24"/>
        </w:rPr>
        <w:t xml:space="preserve"> very pleased to see visitors.</w:t>
      </w:r>
      <w:r w:rsidR="00E72D04" w:rsidRPr="00EE50A1">
        <w:rPr>
          <w:rFonts w:cstheme="minorHAnsi"/>
          <w:b/>
          <w:sz w:val="24"/>
          <w:szCs w:val="24"/>
          <w:vertAlign w:val="superscript"/>
        </w:rPr>
        <w:t>5</w:t>
      </w:r>
    </w:p>
    <w:p w:rsidR="003F7BD8" w:rsidRPr="00DB436A" w:rsidRDefault="003F7BD8" w:rsidP="00D76B69">
      <w:pPr>
        <w:spacing w:after="0"/>
        <w:rPr>
          <w:rFonts w:cstheme="minorHAnsi"/>
          <w:sz w:val="24"/>
          <w:szCs w:val="24"/>
        </w:rPr>
      </w:pPr>
    </w:p>
    <w:p w:rsidR="003F7BD8" w:rsidRPr="00E72D04" w:rsidRDefault="003F7BD8" w:rsidP="003F7BD8">
      <w:pPr>
        <w:spacing w:after="0"/>
        <w:rPr>
          <w:rFonts w:cstheme="minorHAnsi"/>
          <w:sz w:val="24"/>
          <w:szCs w:val="24"/>
          <w:vertAlign w:val="superscript"/>
        </w:rPr>
      </w:pPr>
      <w:r w:rsidRPr="00DB436A">
        <w:rPr>
          <w:rFonts w:cstheme="minorHAnsi"/>
          <w:sz w:val="24"/>
          <w:szCs w:val="24"/>
        </w:rPr>
        <w:t>In November 1896 it was reported that ‘Mr. L. Herring, of Hunter’s Hill, is about to erect a commodious residence on his well-known orchard property at Beecroft.’</w:t>
      </w:r>
      <w:r w:rsidR="00E72D04" w:rsidRPr="00EE50A1">
        <w:rPr>
          <w:rFonts w:cstheme="minorHAnsi"/>
          <w:b/>
          <w:sz w:val="24"/>
          <w:szCs w:val="24"/>
          <w:vertAlign w:val="superscript"/>
        </w:rPr>
        <w:t>6</w:t>
      </w:r>
    </w:p>
    <w:p w:rsidR="003F7BD8" w:rsidRPr="00DB436A" w:rsidRDefault="003F7BD8" w:rsidP="00D76B69">
      <w:pPr>
        <w:spacing w:after="0"/>
        <w:rPr>
          <w:rFonts w:cstheme="minorHAnsi"/>
          <w:sz w:val="24"/>
          <w:szCs w:val="24"/>
        </w:rPr>
      </w:pPr>
    </w:p>
    <w:p w:rsidR="00714199" w:rsidRPr="00DB436A" w:rsidRDefault="003F7BD8" w:rsidP="003F7BD8">
      <w:pPr>
        <w:spacing w:after="0"/>
        <w:rPr>
          <w:rFonts w:cstheme="minorHAnsi"/>
          <w:sz w:val="24"/>
          <w:szCs w:val="24"/>
        </w:rPr>
      </w:pPr>
      <w:r w:rsidRPr="00DB436A">
        <w:rPr>
          <w:rFonts w:cstheme="minorHAnsi"/>
          <w:sz w:val="24"/>
          <w:szCs w:val="24"/>
        </w:rPr>
        <w:lastRenderedPageBreak/>
        <w:t xml:space="preserve">In October 1897 Kate E. Herring refers to </w:t>
      </w:r>
      <w:r w:rsidR="00714199" w:rsidRPr="00DB436A">
        <w:rPr>
          <w:rFonts w:cstheme="minorHAnsi"/>
          <w:sz w:val="24"/>
          <w:szCs w:val="24"/>
        </w:rPr>
        <w:t xml:space="preserve">her address as </w:t>
      </w:r>
      <w:r w:rsidRPr="00DB436A">
        <w:rPr>
          <w:rFonts w:cstheme="minorHAnsi"/>
          <w:sz w:val="24"/>
          <w:szCs w:val="24"/>
        </w:rPr>
        <w:t>“</w:t>
      </w:r>
      <w:r w:rsidRPr="00DB436A">
        <w:rPr>
          <w:rFonts w:cstheme="minorHAnsi"/>
          <w:i/>
          <w:sz w:val="24"/>
          <w:szCs w:val="24"/>
        </w:rPr>
        <w:t>Sheen</w:t>
      </w:r>
      <w:r w:rsidR="00714199" w:rsidRPr="00DB436A">
        <w:rPr>
          <w:rFonts w:cstheme="minorHAnsi"/>
          <w:i/>
          <w:sz w:val="24"/>
          <w:szCs w:val="24"/>
        </w:rPr>
        <w:t>,</w:t>
      </w:r>
      <w:r w:rsidRPr="00DB436A">
        <w:rPr>
          <w:rFonts w:cstheme="minorHAnsi"/>
          <w:sz w:val="24"/>
          <w:szCs w:val="24"/>
        </w:rPr>
        <w:t>”</w:t>
      </w:r>
      <w:r w:rsidR="00714199" w:rsidRPr="00DB436A">
        <w:rPr>
          <w:rFonts w:cstheme="minorHAnsi"/>
          <w:sz w:val="24"/>
          <w:szCs w:val="24"/>
        </w:rPr>
        <w:t xml:space="preserve"> Beecroft.</w:t>
      </w:r>
      <w:r w:rsidRPr="00DB436A">
        <w:rPr>
          <w:rFonts w:cstheme="minorHAnsi"/>
          <w:sz w:val="24"/>
          <w:szCs w:val="24"/>
        </w:rPr>
        <w:t xml:space="preserve"> </w:t>
      </w:r>
      <w:r w:rsidR="00714199" w:rsidRPr="00DB436A">
        <w:rPr>
          <w:rFonts w:cstheme="minorHAnsi"/>
          <w:sz w:val="24"/>
          <w:szCs w:val="24"/>
        </w:rPr>
        <w:t>It would no doubt</w:t>
      </w:r>
      <w:r w:rsidR="00BD72B2" w:rsidRPr="00DB436A">
        <w:rPr>
          <w:rFonts w:cstheme="minorHAnsi"/>
          <w:sz w:val="24"/>
          <w:szCs w:val="24"/>
        </w:rPr>
        <w:t xml:space="preserve"> refer to an earlier residence as the new house, also named “</w:t>
      </w:r>
      <w:r w:rsidR="00BD72B2" w:rsidRPr="00DB436A">
        <w:rPr>
          <w:rFonts w:cstheme="minorHAnsi"/>
          <w:i/>
          <w:sz w:val="24"/>
          <w:szCs w:val="24"/>
        </w:rPr>
        <w:t>Sheen</w:t>
      </w:r>
      <w:r w:rsidR="00BD72B2" w:rsidRPr="00DB436A">
        <w:rPr>
          <w:rFonts w:cstheme="minorHAnsi"/>
          <w:sz w:val="24"/>
          <w:szCs w:val="24"/>
        </w:rPr>
        <w:t>,” was not completed until February 1899.</w:t>
      </w:r>
    </w:p>
    <w:p w:rsidR="003F7BD8" w:rsidRPr="00E72D04" w:rsidRDefault="003F7BD8" w:rsidP="003F7BD8">
      <w:pPr>
        <w:spacing w:after="0"/>
        <w:rPr>
          <w:rFonts w:cstheme="minorHAnsi"/>
          <w:sz w:val="24"/>
          <w:szCs w:val="24"/>
          <w:vertAlign w:val="superscript"/>
        </w:rPr>
      </w:pPr>
      <w:r w:rsidRPr="00DB436A">
        <w:rPr>
          <w:rFonts w:cstheme="minorHAnsi"/>
          <w:sz w:val="24"/>
          <w:szCs w:val="24"/>
        </w:rPr>
        <w:t>Also that month, at a Beecroft Progress Association meeting, ‘Mr. Green mentioned the desirability of beautifying the station grounds, by having the vacant lands thereat trenched, fenced in and planted with ornamental trees and shrubs.  Mr. Hogan had brought the matter under his notice and had informed him that Mr. Leslie Herring was willing to contribute towards such an improvement.’</w:t>
      </w:r>
      <w:r w:rsidR="00E72D04" w:rsidRPr="00EE50A1">
        <w:rPr>
          <w:rFonts w:cstheme="minorHAnsi"/>
          <w:b/>
          <w:sz w:val="24"/>
          <w:szCs w:val="24"/>
          <w:vertAlign w:val="superscript"/>
        </w:rPr>
        <w:t>7</w:t>
      </w:r>
    </w:p>
    <w:p w:rsidR="003F7BD8" w:rsidRPr="00DB436A" w:rsidRDefault="003F7BD8" w:rsidP="003F7BD8">
      <w:pPr>
        <w:spacing w:after="0"/>
        <w:rPr>
          <w:rFonts w:cstheme="minorHAnsi"/>
          <w:b/>
          <w:bCs/>
          <w:sz w:val="24"/>
          <w:szCs w:val="24"/>
        </w:rPr>
      </w:pPr>
    </w:p>
    <w:p w:rsidR="00714199" w:rsidRPr="00DB436A" w:rsidRDefault="00714199" w:rsidP="00714199">
      <w:pPr>
        <w:spacing w:after="0"/>
        <w:rPr>
          <w:rFonts w:cstheme="minorHAnsi"/>
          <w:sz w:val="24"/>
          <w:szCs w:val="24"/>
        </w:rPr>
      </w:pPr>
      <w:r w:rsidRPr="00DB436A">
        <w:rPr>
          <w:rFonts w:cstheme="minorHAnsi"/>
          <w:sz w:val="24"/>
          <w:szCs w:val="24"/>
        </w:rPr>
        <w:t xml:space="preserve">In February 1899 it was reported that ‘Mr. Leslie Herring, formerly a resident of Hunter’s Hill, entered into the occupation of his new and handsome villa residence in Hannah Street, Beecroft, last week.  It is of the early English type of house, and is generally regarded as the prettiest place in Beecroft.’ </w:t>
      </w:r>
    </w:p>
    <w:p w:rsidR="00714199" w:rsidRPr="00E72D04" w:rsidRDefault="00714199" w:rsidP="00714199">
      <w:pPr>
        <w:spacing w:after="0"/>
        <w:rPr>
          <w:rFonts w:cstheme="minorHAnsi"/>
          <w:sz w:val="24"/>
          <w:szCs w:val="24"/>
          <w:vertAlign w:val="superscript"/>
        </w:rPr>
      </w:pPr>
      <w:r w:rsidRPr="00DB436A">
        <w:rPr>
          <w:rFonts w:cstheme="minorHAnsi"/>
          <w:sz w:val="24"/>
          <w:szCs w:val="24"/>
        </w:rPr>
        <w:t>‘Mr. H. B. Colton, who some few years ago left Hunter’s Hill, has returned, and now occupies the residence recently vacated by Mr. Leslie Herring, in Joubert-street.’</w:t>
      </w:r>
      <w:r w:rsidR="00E72D04" w:rsidRPr="00EE50A1">
        <w:rPr>
          <w:rFonts w:cstheme="minorHAnsi"/>
          <w:b/>
          <w:sz w:val="24"/>
          <w:szCs w:val="24"/>
          <w:vertAlign w:val="superscript"/>
        </w:rPr>
        <w:t>8</w:t>
      </w:r>
    </w:p>
    <w:p w:rsidR="00714199" w:rsidRPr="00DB436A" w:rsidRDefault="00714199" w:rsidP="00714199">
      <w:pPr>
        <w:spacing w:after="0"/>
        <w:rPr>
          <w:rFonts w:cstheme="minorHAnsi"/>
          <w:b/>
          <w:bCs/>
          <w:sz w:val="24"/>
          <w:szCs w:val="24"/>
        </w:rPr>
      </w:pPr>
    </w:p>
    <w:p w:rsidR="00BD72B2" w:rsidRPr="00E72D04" w:rsidRDefault="00BD72B2" w:rsidP="00BD72B2">
      <w:pPr>
        <w:spacing w:after="0"/>
        <w:rPr>
          <w:rFonts w:cstheme="minorHAnsi"/>
          <w:sz w:val="24"/>
          <w:szCs w:val="24"/>
          <w:vertAlign w:val="superscript"/>
        </w:rPr>
      </w:pPr>
      <w:r w:rsidRPr="00D67C25">
        <w:rPr>
          <w:rFonts w:cstheme="minorHAnsi"/>
          <w:bCs/>
          <w:sz w:val="24"/>
          <w:szCs w:val="24"/>
        </w:rPr>
        <w:t>In August 1900</w:t>
      </w:r>
      <w:r w:rsidRPr="00DB436A">
        <w:rPr>
          <w:rFonts w:cstheme="minorHAnsi"/>
          <w:b/>
          <w:bCs/>
          <w:sz w:val="24"/>
          <w:szCs w:val="24"/>
        </w:rPr>
        <w:t xml:space="preserve"> ‘</w:t>
      </w:r>
      <w:r w:rsidRPr="00DB436A">
        <w:rPr>
          <w:rFonts w:cstheme="minorHAnsi"/>
          <w:sz w:val="24"/>
          <w:szCs w:val="24"/>
        </w:rPr>
        <w:t>A garden fete was held at “</w:t>
      </w:r>
      <w:r w:rsidRPr="00EE50A1">
        <w:rPr>
          <w:rFonts w:cstheme="minorHAnsi"/>
          <w:i/>
          <w:sz w:val="24"/>
          <w:szCs w:val="24"/>
        </w:rPr>
        <w:t>Sheen</w:t>
      </w:r>
      <w:r w:rsidRPr="00DB436A">
        <w:rPr>
          <w:rFonts w:cstheme="minorHAnsi"/>
          <w:sz w:val="24"/>
          <w:szCs w:val="24"/>
        </w:rPr>
        <w:t>,” Hannah Street, Beecroft, the grounds of Mr. Leslie Herring, in aid of the Indian Famine Relief Fund.’</w:t>
      </w:r>
      <w:r w:rsidR="00E72D04" w:rsidRPr="00EE50A1">
        <w:rPr>
          <w:rFonts w:cstheme="minorHAnsi"/>
          <w:b/>
          <w:sz w:val="24"/>
          <w:szCs w:val="24"/>
          <w:vertAlign w:val="superscript"/>
        </w:rPr>
        <w:t>9</w:t>
      </w:r>
    </w:p>
    <w:p w:rsidR="00714199" w:rsidRPr="00DB436A" w:rsidRDefault="00714199" w:rsidP="00714199">
      <w:pPr>
        <w:spacing w:after="0"/>
        <w:rPr>
          <w:rFonts w:cstheme="minorHAnsi"/>
          <w:bCs/>
          <w:sz w:val="24"/>
          <w:szCs w:val="24"/>
        </w:rPr>
      </w:pPr>
    </w:p>
    <w:p w:rsidR="00BD72B2" w:rsidRPr="00E72D04" w:rsidRDefault="00BD72B2" w:rsidP="00714199">
      <w:pPr>
        <w:spacing w:after="0"/>
        <w:rPr>
          <w:rFonts w:cstheme="minorHAnsi"/>
          <w:sz w:val="24"/>
          <w:szCs w:val="24"/>
          <w:vertAlign w:val="superscript"/>
        </w:rPr>
      </w:pPr>
      <w:r w:rsidRPr="00DB436A">
        <w:rPr>
          <w:rFonts w:cstheme="minorHAnsi"/>
          <w:bCs/>
          <w:sz w:val="24"/>
          <w:szCs w:val="24"/>
        </w:rPr>
        <w:t>In April 1901</w:t>
      </w:r>
      <w:r w:rsidRPr="00DB436A">
        <w:rPr>
          <w:rFonts w:cstheme="minorHAnsi"/>
          <w:b/>
          <w:bCs/>
          <w:sz w:val="24"/>
          <w:szCs w:val="24"/>
        </w:rPr>
        <w:t xml:space="preserve"> </w:t>
      </w:r>
      <w:r w:rsidRPr="00DB436A">
        <w:rPr>
          <w:rFonts w:cstheme="minorHAnsi"/>
          <w:sz w:val="24"/>
          <w:szCs w:val="24"/>
        </w:rPr>
        <w:t>Mr. Joseph Lovell, disposed of his well-known orchard property, dwelling, etc., to Mr. Leslie Herring.</w:t>
      </w:r>
      <w:r w:rsidR="00E72D04" w:rsidRPr="00EE50A1">
        <w:rPr>
          <w:rFonts w:cstheme="minorHAnsi"/>
          <w:b/>
          <w:sz w:val="24"/>
          <w:szCs w:val="24"/>
          <w:vertAlign w:val="superscript"/>
        </w:rPr>
        <w:t>10</w:t>
      </w:r>
    </w:p>
    <w:p w:rsidR="00BD72B2" w:rsidRPr="00DB436A" w:rsidRDefault="00BD72B2" w:rsidP="00714199">
      <w:pPr>
        <w:spacing w:after="0"/>
        <w:rPr>
          <w:rFonts w:cstheme="minorHAnsi"/>
          <w:bCs/>
          <w:sz w:val="24"/>
          <w:szCs w:val="24"/>
        </w:rPr>
      </w:pPr>
    </w:p>
    <w:p w:rsidR="00BD72B2" w:rsidRPr="00E72D04" w:rsidRDefault="00BD72B2" w:rsidP="00714199">
      <w:pPr>
        <w:spacing w:after="0"/>
        <w:rPr>
          <w:rFonts w:cstheme="minorHAnsi"/>
          <w:bCs/>
          <w:sz w:val="24"/>
          <w:szCs w:val="24"/>
          <w:vertAlign w:val="superscript"/>
        </w:rPr>
      </w:pPr>
      <w:r w:rsidRPr="00DB436A">
        <w:rPr>
          <w:rFonts w:cstheme="minorHAnsi"/>
          <w:bCs/>
          <w:sz w:val="24"/>
          <w:szCs w:val="24"/>
        </w:rPr>
        <w:t>In March 1903 Leslie Herring, of Beecroft, became a new telephone subscriber</w:t>
      </w:r>
      <w:r w:rsidR="001D01B4" w:rsidRPr="00DB436A">
        <w:rPr>
          <w:rFonts w:cstheme="minorHAnsi"/>
          <w:bCs/>
          <w:sz w:val="24"/>
          <w:szCs w:val="24"/>
        </w:rPr>
        <w:t xml:space="preserve"> [Tel. 48 Epping</w:t>
      </w:r>
      <w:r w:rsidR="00742DDB" w:rsidRPr="00DB436A">
        <w:rPr>
          <w:rFonts w:cstheme="minorHAnsi"/>
          <w:bCs/>
          <w:sz w:val="24"/>
          <w:szCs w:val="24"/>
        </w:rPr>
        <w:t>]</w:t>
      </w:r>
      <w:r w:rsidRPr="00DB436A">
        <w:rPr>
          <w:rFonts w:cstheme="minorHAnsi"/>
          <w:bCs/>
          <w:sz w:val="24"/>
          <w:szCs w:val="24"/>
        </w:rPr>
        <w:t>.</w:t>
      </w:r>
      <w:r w:rsidR="00E72D04" w:rsidRPr="00EE50A1">
        <w:rPr>
          <w:rFonts w:cstheme="minorHAnsi"/>
          <w:b/>
          <w:bCs/>
          <w:sz w:val="24"/>
          <w:szCs w:val="24"/>
          <w:vertAlign w:val="superscript"/>
        </w:rPr>
        <w:t>11</w:t>
      </w:r>
    </w:p>
    <w:p w:rsidR="00BD72B2" w:rsidRPr="00DB436A" w:rsidRDefault="00BD72B2" w:rsidP="00714199">
      <w:pPr>
        <w:spacing w:after="0"/>
        <w:rPr>
          <w:rFonts w:cstheme="minorHAnsi"/>
          <w:bCs/>
          <w:sz w:val="24"/>
          <w:szCs w:val="24"/>
        </w:rPr>
      </w:pPr>
    </w:p>
    <w:p w:rsidR="00BD72B2" w:rsidRPr="00E72D04" w:rsidRDefault="00BD72B2" w:rsidP="00BD72B2">
      <w:pPr>
        <w:spacing w:after="0"/>
        <w:rPr>
          <w:rFonts w:cstheme="minorHAnsi"/>
          <w:sz w:val="24"/>
          <w:szCs w:val="24"/>
          <w:vertAlign w:val="superscript"/>
        </w:rPr>
      </w:pPr>
      <w:r w:rsidRPr="00DB436A">
        <w:rPr>
          <w:rFonts w:cstheme="minorHAnsi"/>
          <w:bCs/>
          <w:sz w:val="24"/>
          <w:szCs w:val="24"/>
        </w:rPr>
        <w:t xml:space="preserve">In April 1903, </w:t>
      </w:r>
      <w:r w:rsidRPr="00DB436A">
        <w:rPr>
          <w:rFonts w:cstheme="minorHAnsi"/>
          <w:sz w:val="24"/>
          <w:szCs w:val="24"/>
        </w:rPr>
        <w:t>Walcot Way, a labourer, 25 years of age, son of Mr. John Thomas Way, orchard manager for Mr. Leslie Herring, of “Sheen,” Beecroft, committed suicide opposite the Beecroft railway station.</w:t>
      </w:r>
      <w:r w:rsidR="00E72D04" w:rsidRPr="00EE50A1">
        <w:rPr>
          <w:rFonts w:cstheme="minorHAnsi"/>
          <w:b/>
          <w:sz w:val="24"/>
          <w:szCs w:val="24"/>
          <w:vertAlign w:val="superscript"/>
        </w:rPr>
        <w:t>12</w:t>
      </w:r>
    </w:p>
    <w:p w:rsidR="00BD72B2" w:rsidRPr="00DB436A" w:rsidRDefault="00BD72B2" w:rsidP="00BD72B2">
      <w:pPr>
        <w:spacing w:after="0"/>
        <w:rPr>
          <w:rFonts w:cstheme="minorHAnsi"/>
          <w:sz w:val="24"/>
          <w:szCs w:val="24"/>
        </w:rPr>
      </w:pPr>
    </w:p>
    <w:p w:rsidR="00BD72B2" w:rsidRPr="00DB436A" w:rsidRDefault="00BD72B2" w:rsidP="00BD72B2">
      <w:pPr>
        <w:spacing w:after="0"/>
        <w:jc w:val="center"/>
        <w:rPr>
          <w:rFonts w:cstheme="minorHAnsi"/>
          <w:sz w:val="24"/>
          <w:szCs w:val="24"/>
        </w:rPr>
      </w:pPr>
      <w:r w:rsidRPr="00DB436A">
        <w:rPr>
          <w:rFonts w:cstheme="minorHAnsi"/>
          <w:b/>
          <w:sz w:val="24"/>
          <w:szCs w:val="24"/>
        </w:rPr>
        <w:t>HERRING’S ORCHARD, BEECROFT</w:t>
      </w:r>
      <w:r w:rsidRPr="00DB436A">
        <w:rPr>
          <w:rFonts w:cstheme="minorHAnsi"/>
          <w:noProof/>
          <w:sz w:val="24"/>
          <w:szCs w:val="24"/>
          <w:lang w:eastAsia="en-AU"/>
        </w:rPr>
        <w:drawing>
          <wp:inline distT="0" distB="0" distL="0" distR="0" wp14:anchorId="20E55711" wp14:editId="1949DF60">
            <wp:extent cx="3854450" cy="23886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61929" cy="2393307"/>
                    </a:xfrm>
                    <a:prstGeom prst="rect">
                      <a:avLst/>
                    </a:prstGeom>
                  </pic:spPr>
                </pic:pic>
              </a:graphicData>
            </a:graphic>
          </wp:inline>
        </w:drawing>
      </w:r>
    </w:p>
    <w:p w:rsidR="00BD72B2" w:rsidRPr="00DB436A" w:rsidRDefault="00BD72B2" w:rsidP="00BD72B2">
      <w:pPr>
        <w:spacing w:after="0"/>
        <w:rPr>
          <w:rFonts w:cstheme="minorHAnsi"/>
          <w:sz w:val="24"/>
          <w:szCs w:val="24"/>
        </w:rPr>
      </w:pPr>
    </w:p>
    <w:p w:rsidR="00BD72B2" w:rsidRPr="00E72D04" w:rsidRDefault="00BD72B2" w:rsidP="00BD72B2">
      <w:pPr>
        <w:spacing w:after="0"/>
        <w:rPr>
          <w:rFonts w:cstheme="minorHAnsi"/>
          <w:sz w:val="24"/>
          <w:szCs w:val="24"/>
          <w:vertAlign w:val="superscript"/>
        </w:rPr>
      </w:pPr>
      <w:r w:rsidRPr="00DB436A">
        <w:rPr>
          <w:rFonts w:cstheme="minorHAnsi"/>
          <w:sz w:val="24"/>
          <w:szCs w:val="24"/>
        </w:rPr>
        <w:t>In July 1907 Leslie Herring exported 20 cas</w:t>
      </w:r>
      <w:r w:rsidR="001D01B4" w:rsidRPr="00DB436A">
        <w:rPr>
          <w:rFonts w:cstheme="minorHAnsi"/>
          <w:sz w:val="24"/>
          <w:szCs w:val="24"/>
        </w:rPr>
        <w:t>es of oranges to London, as an experimental shipment. He topped the list of local growers at 8s 3d per case.</w:t>
      </w:r>
      <w:r w:rsidR="00E72D04" w:rsidRPr="00EE50A1">
        <w:rPr>
          <w:rFonts w:cstheme="minorHAnsi"/>
          <w:b/>
          <w:sz w:val="24"/>
          <w:szCs w:val="24"/>
          <w:vertAlign w:val="superscript"/>
        </w:rPr>
        <w:t>13</w:t>
      </w:r>
    </w:p>
    <w:p w:rsidR="00BD72B2" w:rsidRPr="00DB436A" w:rsidRDefault="00BD72B2" w:rsidP="00BD72B2">
      <w:pPr>
        <w:spacing w:after="0"/>
        <w:rPr>
          <w:rFonts w:cstheme="minorHAnsi"/>
          <w:bCs/>
          <w:sz w:val="24"/>
          <w:szCs w:val="24"/>
        </w:rPr>
      </w:pPr>
    </w:p>
    <w:p w:rsidR="001D01B4" w:rsidRPr="00E72D04" w:rsidRDefault="001D01B4" w:rsidP="001D01B4">
      <w:pPr>
        <w:spacing w:after="0"/>
        <w:rPr>
          <w:rFonts w:cstheme="minorHAnsi"/>
          <w:sz w:val="24"/>
          <w:szCs w:val="24"/>
          <w:vertAlign w:val="superscript"/>
        </w:rPr>
      </w:pPr>
      <w:r w:rsidRPr="00DB436A">
        <w:rPr>
          <w:rFonts w:cstheme="minorHAnsi"/>
          <w:bCs/>
          <w:sz w:val="24"/>
          <w:szCs w:val="24"/>
        </w:rPr>
        <w:t>On 25</w:t>
      </w:r>
      <w:r w:rsidRPr="00DB436A">
        <w:rPr>
          <w:rFonts w:cstheme="minorHAnsi"/>
          <w:bCs/>
          <w:sz w:val="24"/>
          <w:szCs w:val="24"/>
          <w:vertAlign w:val="superscript"/>
        </w:rPr>
        <w:t>th</w:t>
      </w:r>
      <w:r w:rsidRPr="00DB436A">
        <w:rPr>
          <w:rFonts w:cstheme="minorHAnsi"/>
          <w:bCs/>
          <w:sz w:val="24"/>
          <w:szCs w:val="24"/>
        </w:rPr>
        <w:t xml:space="preserve"> September 1907 ‘</w:t>
      </w:r>
      <w:r w:rsidRPr="00DB436A">
        <w:rPr>
          <w:rFonts w:cstheme="minorHAnsi"/>
          <w:sz w:val="24"/>
          <w:szCs w:val="24"/>
        </w:rPr>
        <w:t xml:space="preserve">at Tangoa, New Hebrides, Maurice, son of the late A. E. Witts, of Rosemount, Monaro, and Mrs. Witts, Drummoyne, was married to Mabel Kate, only daughter of Lesley Herring, </w:t>
      </w:r>
      <w:r w:rsidRPr="00EE50A1">
        <w:rPr>
          <w:rFonts w:cstheme="minorHAnsi"/>
          <w:i/>
          <w:sz w:val="24"/>
          <w:szCs w:val="24"/>
        </w:rPr>
        <w:t>Sheen</w:t>
      </w:r>
      <w:r w:rsidRPr="00DB436A">
        <w:rPr>
          <w:rFonts w:cstheme="minorHAnsi"/>
          <w:sz w:val="24"/>
          <w:szCs w:val="24"/>
        </w:rPr>
        <w:t>, Beecroft.’</w:t>
      </w:r>
      <w:r w:rsidR="00E72D04" w:rsidRPr="00EE50A1">
        <w:rPr>
          <w:rFonts w:cstheme="minorHAnsi"/>
          <w:b/>
          <w:sz w:val="24"/>
          <w:szCs w:val="24"/>
          <w:vertAlign w:val="superscript"/>
        </w:rPr>
        <w:t>14</w:t>
      </w:r>
    </w:p>
    <w:p w:rsidR="001D01B4" w:rsidRPr="00DB436A" w:rsidRDefault="001D01B4" w:rsidP="00BD72B2">
      <w:pPr>
        <w:spacing w:after="0"/>
        <w:rPr>
          <w:rFonts w:cstheme="minorHAnsi"/>
          <w:bCs/>
          <w:sz w:val="24"/>
          <w:szCs w:val="24"/>
        </w:rPr>
      </w:pPr>
    </w:p>
    <w:p w:rsidR="001D01B4" w:rsidRPr="00DB436A" w:rsidRDefault="001D01B4" w:rsidP="00BD72B2">
      <w:pPr>
        <w:spacing w:after="0"/>
        <w:rPr>
          <w:rFonts w:cstheme="minorHAnsi"/>
          <w:sz w:val="24"/>
          <w:szCs w:val="24"/>
        </w:rPr>
      </w:pPr>
      <w:r w:rsidRPr="00DB436A">
        <w:rPr>
          <w:rFonts w:cstheme="minorHAnsi"/>
          <w:bCs/>
          <w:sz w:val="24"/>
          <w:szCs w:val="24"/>
        </w:rPr>
        <w:t xml:space="preserve">In May 1908 Mrs. Herring advertised for a ‘thorough </w:t>
      </w:r>
      <w:r w:rsidRPr="00DB436A">
        <w:rPr>
          <w:rFonts w:cstheme="minorHAnsi"/>
          <w:sz w:val="24"/>
          <w:szCs w:val="24"/>
        </w:rPr>
        <w:t xml:space="preserve">General Servant, 2 in family, another maid kept.’ </w:t>
      </w:r>
    </w:p>
    <w:p w:rsidR="001D01B4" w:rsidRPr="00DB436A" w:rsidRDefault="001D01B4" w:rsidP="00BD72B2">
      <w:pPr>
        <w:spacing w:after="0"/>
        <w:rPr>
          <w:rFonts w:cstheme="minorHAnsi"/>
          <w:sz w:val="24"/>
          <w:szCs w:val="24"/>
        </w:rPr>
      </w:pPr>
      <w:r w:rsidRPr="00DB436A">
        <w:rPr>
          <w:rFonts w:cstheme="minorHAnsi"/>
          <w:sz w:val="24"/>
          <w:szCs w:val="24"/>
        </w:rPr>
        <w:t>In February 1909, she advertised for a ‘thorough General [Servant], 3 in family, housemaid kept.’</w:t>
      </w:r>
    </w:p>
    <w:p w:rsidR="001D01B4" w:rsidRPr="00DB436A" w:rsidRDefault="001D01B4" w:rsidP="00BD72B2">
      <w:pPr>
        <w:spacing w:after="0"/>
        <w:rPr>
          <w:rFonts w:cstheme="minorHAnsi"/>
          <w:sz w:val="24"/>
          <w:szCs w:val="24"/>
        </w:rPr>
      </w:pPr>
      <w:r w:rsidRPr="00DB436A">
        <w:rPr>
          <w:rFonts w:cstheme="minorHAnsi"/>
          <w:sz w:val="24"/>
          <w:szCs w:val="24"/>
        </w:rPr>
        <w:t xml:space="preserve">In May 1910, she advertised for a ‘young Girl, train as H. and P. Maid.’ </w:t>
      </w:r>
    </w:p>
    <w:p w:rsidR="001D01B4" w:rsidRPr="00DB436A" w:rsidRDefault="001D01B4" w:rsidP="00BD72B2">
      <w:pPr>
        <w:spacing w:after="0"/>
        <w:rPr>
          <w:rFonts w:cstheme="minorHAnsi"/>
          <w:sz w:val="24"/>
          <w:szCs w:val="24"/>
        </w:rPr>
      </w:pPr>
      <w:r w:rsidRPr="00DB436A">
        <w:rPr>
          <w:rFonts w:cstheme="minorHAnsi"/>
          <w:sz w:val="24"/>
          <w:szCs w:val="24"/>
        </w:rPr>
        <w:t xml:space="preserve">In August 1911, another advertisement for a ‘Cook and laundress, OR General Servant, housemaid kept.  Wages 16s.’ </w:t>
      </w:r>
    </w:p>
    <w:p w:rsidR="00742DDB" w:rsidRPr="00E72D04" w:rsidRDefault="00742DDB" w:rsidP="00BD72B2">
      <w:pPr>
        <w:spacing w:after="0"/>
        <w:rPr>
          <w:rFonts w:cstheme="minorHAnsi"/>
          <w:sz w:val="24"/>
          <w:szCs w:val="24"/>
          <w:vertAlign w:val="superscript"/>
        </w:rPr>
      </w:pPr>
      <w:r w:rsidRPr="00DB436A">
        <w:rPr>
          <w:rFonts w:cstheme="minorHAnsi"/>
          <w:sz w:val="24"/>
          <w:szCs w:val="24"/>
        </w:rPr>
        <w:t>Another advertisement in November 1912 – ‘reliable Lady Help, for small family, for Wyong.’</w:t>
      </w:r>
      <w:r w:rsidR="00E72D04" w:rsidRPr="00EE50A1">
        <w:rPr>
          <w:rFonts w:cstheme="minorHAnsi"/>
          <w:b/>
          <w:sz w:val="24"/>
          <w:szCs w:val="24"/>
          <w:vertAlign w:val="superscript"/>
        </w:rPr>
        <w:t>15</w:t>
      </w:r>
    </w:p>
    <w:p w:rsidR="001D01B4" w:rsidRPr="00DB436A" w:rsidRDefault="001D01B4" w:rsidP="001D01B4">
      <w:pPr>
        <w:spacing w:after="0"/>
        <w:rPr>
          <w:rFonts w:cstheme="minorHAnsi"/>
          <w:bCs/>
          <w:sz w:val="24"/>
          <w:szCs w:val="24"/>
        </w:rPr>
      </w:pPr>
    </w:p>
    <w:p w:rsidR="001D01B4" w:rsidRPr="00E72D04" w:rsidRDefault="00742DDB" w:rsidP="001D01B4">
      <w:pPr>
        <w:spacing w:after="0"/>
        <w:rPr>
          <w:rFonts w:cstheme="minorHAnsi"/>
          <w:sz w:val="24"/>
          <w:szCs w:val="24"/>
          <w:vertAlign w:val="superscript"/>
        </w:rPr>
      </w:pPr>
      <w:r w:rsidRPr="00DB436A">
        <w:rPr>
          <w:rFonts w:cstheme="minorHAnsi"/>
          <w:bCs/>
          <w:sz w:val="24"/>
          <w:szCs w:val="24"/>
        </w:rPr>
        <w:t xml:space="preserve">In August 1913 a </w:t>
      </w:r>
      <w:r w:rsidRPr="00DB436A">
        <w:rPr>
          <w:rFonts w:cstheme="minorHAnsi"/>
          <w:sz w:val="24"/>
          <w:szCs w:val="24"/>
        </w:rPr>
        <w:t>garden fete in aid of the funds of the Ministering Children’s League and the Beecroft branch of the Harbour Lights Guild, was held in the grounds of Mrs. L. Herring’s residence, who was president of the Beecroft branch.</w:t>
      </w:r>
      <w:r w:rsidR="00E72D04" w:rsidRPr="00EE50A1">
        <w:rPr>
          <w:rFonts w:cstheme="minorHAnsi"/>
          <w:b/>
          <w:sz w:val="24"/>
          <w:szCs w:val="24"/>
          <w:vertAlign w:val="superscript"/>
        </w:rPr>
        <w:t>16</w:t>
      </w:r>
    </w:p>
    <w:p w:rsidR="00742DDB" w:rsidRPr="00DB436A" w:rsidRDefault="00742DDB" w:rsidP="001D01B4">
      <w:pPr>
        <w:spacing w:after="0"/>
        <w:rPr>
          <w:rFonts w:cstheme="minorHAnsi"/>
          <w:bCs/>
          <w:sz w:val="24"/>
          <w:szCs w:val="24"/>
        </w:rPr>
      </w:pPr>
    </w:p>
    <w:p w:rsidR="00742DDB" w:rsidRPr="00DB436A" w:rsidRDefault="00742DDB" w:rsidP="00742DDB">
      <w:pPr>
        <w:spacing w:after="0"/>
        <w:rPr>
          <w:rFonts w:cstheme="minorHAnsi"/>
          <w:bCs/>
          <w:sz w:val="24"/>
          <w:szCs w:val="24"/>
        </w:rPr>
      </w:pPr>
      <w:r w:rsidRPr="00DB436A">
        <w:rPr>
          <w:rFonts w:cstheme="minorHAnsi"/>
          <w:bCs/>
          <w:sz w:val="24"/>
          <w:szCs w:val="24"/>
        </w:rPr>
        <w:t>Leslie George Herring died on 12</w:t>
      </w:r>
      <w:r w:rsidRPr="00DB436A">
        <w:rPr>
          <w:rFonts w:cstheme="minorHAnsi"/>
          <w:bCs/>
          <w:sz w:val="24"/>
          <w:szCs w:val="24"/>
          <w:vertAlign w:val="superscript"/>
        </w:rPr>
        <w:t>th</w:t>
      </w:r>
      <w:r w:rsidRPr="00DB436A">
        <w:rPr>
          <w:rFonts w:cstheme="minorHAnsi"/>
          <w:bCs/>
          <w:sz w:val="24"/>
          <w:szCs w:val="24"/>
        </w:rPr>
        <w:t xml:space="preserve"> September 1913, aged 67 years, at Dr. McCormack’s private hospital at Darlinghurst, after being operated on for an internal trouble. </w:t>
      </w:r>
    </w:p>
    <w:p w:rsidR="00742DDB" w:rsidRPr="00DB436A" w:rsidRDefault="00742DDB" w:rsidP="00742DDB">
      <w:pPr>
        <w:spacing w:after="0"/>
        <w:rPr>
          <w:rFonts w:cstheme="minorHAnsi"/>
          <w:sz w:val="24"/>
          <w:szCs w:val="24"/>
        </w:rPr>
      </w:pPr>
      <w:r w:rsidRPr="00DB436A">
        <w:rPr>
          <w:rFonts w:cstheme="minorHAnsi"/>
          <w:bCs/>
          <w:sz w:val="24"/>
          <w:szCs w:val="24"/>
        </w:rPr>
        <w:t>‘</w:t>
      </w:r>
      <w:r w:rsidRPr="00DB436A">
        <w:rPr>
          <w:rFonts w:cstheme="minorHAnsi"/>
          <w:sz w:val="24"/>
          <w:szCs w:val="24"/>
        </w:rPr>
        <w:t>His illness came on rather suddenly, and his death was quite unexpected by his friends. The funeral took place at Waverley Cemetery. He left a wife and three sons and a daughter. ‘The sons are farmers in the Batlow district, and the daughter is Mrs. Witt</w:t>
      </w:r>
      <w:r w:rsidR="00AD2AC2">
        <w:rPr>
          <w:rFonts w:cstheme="minorHAnsi"/>
          <w:sz w:val="24"/>
          <w:szCs w:val="24"/>
        </w:rPr>
        <w:t>[s]</w:t>
      </w:r>
      <w:r w:rsidRPr="00DB436A">
        <w:rPr>
          <w:rFonts w:cstheme="minorHAnsi"/>
          <w:sz w:val="24"/>
          <w:szCs w:val="24"/>
        </w:rPr>
        <w:t>.  The late Mr. Herring resided at “Sheen,” Hannah</w:t>
      </w:r>
      <w:r w:rsidR="00AD2AC2">
        <w:rPr>
          <w:rFonts w:cstheme="minorHAnsi"/>
          <w:sz w:val="24"/>
          <w:szCs w:val="24"/>
        </w:rPr>
        <w:t>-</w:t>
      </w:r>
      <w:r w:rsidRPr="00DB436A">
        <w:rPr>
          <w:rFonts w:cstheme="minorHAnsi"/>
          <w:sz w:val="24"/>
          <w:szCs w:val="24"/>
        </w:rPr>
        <w:t>street, Beecroft.  He had an extensive orchard property in Beecroft.’</w:t>
      </w:r>
    </w:p>
    <w:p w:rsidR="00742DDB" w:rsidRPr="00E72D04" w:rsidRDefault="00742DDB" w:rsidP="00742DDB">
      <w:pPr>
        <w:spacing w:after="0"/>
        <w:rPr>
          <w:rFonts w:cstheme="minorHAnsi"/>
          <w:sz w:val="24"/>
          <w:szCs w:val="24"/>
          <w:vertAlign w:val="superscript"/>
        </w:rPr>
      </w:pPr>
      <w:r w:rsidRPr="00DB436A">
        <w:rPr>
          <w:rFonts w:cstheme="minorHAnsi"/>
          <w:bCs/>
          <w:sz w:val="24"/>
          <w:szCs w:val="24"/>
        </w:rPr>
        <w:t>‘</w:t>
      </w:r>
      <w:r w:rsidRPr="00DB436A">
        <w:rPr>
          <w:rFonts w:cstheme="minorHAnsi"/>
          <w:sz w:val="24"/>
          <w:szCs w:val="24"/>
        </w:rPr>
        <w:t>Mr. Herring held the position of secretary to the firm of Mort and Co, and about the time that an amalgamation was effected and the present firm of Goldsbrough, Mort, and Co., was established he left the firm, although he continued to be identified with the Mort interests.  Under the terms of the will of the late Mr. T. S. Mort, Mr. Herring was appointed a trustee of the estate, and in that capacity his business acumen was of great service.  At the time of his death he was on the directorate of the New South Wales Fresh Food and Ice Company Ltd., Mort’s Dock and Engineering Company Ltd., Tooth and Co. Ltd., the Australian Alliance Assurance Company, the Permanent Trustee Company Ltd., and the Bodalla Estate.’</w:t>
      </w:r>
      <w:r w:rsidR="00E72D04" w:rsidRPr="00EE50A1">
        <w:rPr>
          <w:rFonts w:cstheme="minorHAnsi"/>
          <w:b/>
          <w:sz w:val="24"/>
          <w:szCs w:val="24"/>
          <w:vertAlign w:val="superscript"/>
        </w:rPr>
        <w:t>17</w:t>
      </w:r>
    </w:p>
    <w:p w:rsidR="00742DDB" w:rsidRPr="00DB436A" w:rsidRDefault="00742DDB" w:rsidP="00742DDB">
      <w:pPr>
        <w:spacing w:after="0"/>
        <w:rPr>
          <w:rFonts w:cstheme="minorHAnsi"/>
          <w:sz w:val="24"/>
          <w:szCs w:val="24"/>
        </w:rPr>
      </w:pPr>
    </w:p>
    <w:p w:rsidR="00A72551" w:rsidRPr="00DB436A" w:rsidRDefault="00A72551" w:rsidP="00A72551">
      <w:pPr>
        <w:spacing w:after="0"/>
        <w:rPr>
          <w:rFonts w:cstheme="minorHAnsi"/>
          <w:sz w:val="24"/>
          <w:szCs w:val="24"/>
        </w:rPr>
      </w:pPr>
      <w:r w:rsidRPr="00DB436A">
        <w:rPr>
          <w:rFonts w:cstheme="minorHAnsi"/>
          <w:sz w:val="24"/>
          <w:szCs w:val="24"/>
        </w:rPr>
        <w:t xml:space="preserve">In December 1913 probate was granted of the will of L. G. Herring. </w:t>
      </w:r>
    </w:p>
    <w:p w:rsidR="00A72551" w:rsidRPr="00DB436A" w:rsidRDefault="00A72551" w:rsidP="00A72551">
      <w:pPr>
        <w:spacing w:after="0"/>
        <w:rPr>
          <w:rFonts w:cstheme="minorHAnsi"/>
          <w:sz w:val="24"/>
          <w:szCs w:val="24"/>
        </w:rPr>
      </w:pPr>
      <w:r w:rsidRPr="00DB436A">
        <w:rPr>
          <w:rFonts w:cstheme="minorHAnsi"/>
          <w:sz w:val="24"/>
          <w:szCs w:val="24"/>
        </w:rPr>
        <w:t>‘The testator appointed the Permanent Trustee Company, Limited, trustees and executors of his estate, the whole of which he bequeathed to his widow and children, the widow (Kate Emily Herring) to receive the income for life; after her decease, the estate to be divided equally among all the children.  Directions were given the trustees with respect to the sale and conversion of the estate, and the carrying on of the orchard at Beecroft.</w:t>
      </w:r>
    </w:p>
    <w:p w:rsidR="00A72551" w:rsidRPr="00E72D04" w:rsidRDefault="00A72551" w:rsidP="00A72551">
      <w:pPr>
        <w:spacing w:after="0"/>
        <w:rPr>
          <w:rFonts w:cstheme="minorHAnsi"/>
          <w:sz w:val="24"/>
          <w:szCs w:val="24"/>
          <w:vertAlign w:val="superscript"/>
        </w:rPr>
      </w:pPr>
      <w:r w:rsidRPr="00DB436A">
        <w:rPr>
          <w:rFonts w:cstheme="minorHAnsi"/>
          <w:sz w:val="24"/>
          <w:szCs w:val="24"/>
        </w:rPr>
        <w:t>The net value of the estate was sworn at £23,499 15s.’</w:t>
      </w:r>
      <w:r w:rsidR="00E72D04" w:rsidRPr="00EE50A1">
        <w:rPr>
          <w:rFonts w:cstheme="minorHAnsi"/>
          <w:b/>
          <w:sz w:val="24"/>
          <w:szCs w:val="24"/>
          <w:vertAlign w:val="superscript"/>
        </w:rPr>
        <w:t>18</w:t>
      </w:r>
    </w:p>
    <w:p w:rsidR="00A72551" w:rsidRPr="00DB436A" w:rsidRDefault="00A72551" w:rsidP="00A72551">
      <w:pPr>
        <w:spacing w:after="0"/>
        <w:rPr>
          <w:rFonts w:cstheme="minorHAnsi"/>
          <w:sz w:val="24"/>
          <w:szCs w:val="24"/>
        </w:rPr>
      </w:pPr>
    </w:p>
    <w:p w:rsidR="00A72551" w:rsidRPr="00E72D04" w:rsidRDefault="00D67C25" w:rsidP="00A72551">
      <w:pPr>
        <w:spacing w:after="0"/>
        <w:rPr>
          <w:rFonts w:cstheme="minorHAnsi"/>
          <w:sz w:val="24"/>
          <w:szCs w:val="24"/>
          <w:vertAlign w:val="superscript"/>
        </w:rPr>
      </w:pPr>
      <w:r>
        <w:rPr>
          <w:rFonts w:cstheme="minorHAnsi"/>
          <w:sz w:val="24"/>
          <w:szCs w:val="24"/>
        </w:rPr>
        <w:t>In</w:t>
      </w:r>
      <w:r w:rsidR="00A72551" w:rsidRPr="00DB436A">
        <w:rPr>
          <w:rFonts w:cstheme="minorHAnsi"/>
          <w:sz w:val="24"/>
          <w:szCs w:val="24"/>
        </w:rPr>
        <w:t xml:space="preserve"> June 1914 two allotments of Herring’s Estate were sold for £424.</w:t>
      </w:r>
      <w:r w:rsidR="00E72D04" w:rsidRPr="00D67C25">
        <w:rPr>
          <w:rFonts w:cstheme="minorHAnsi"/>
          <w:b/>
          <w:sz w:val="24"/>
          <w:szCs w:val="24"/>
          <w:vertAlign w:val="superscript"/>
        </w:rPr>
        <w:t>19</w:t>
      </w:r>
    </w:p>
    <w:p w:rsidR="00A72551" w:rsidRPr="00DB436A" w:rsidRDefault="00A72551" w:rsidP="00A72551">
      <w:pPr>
        <w:spacing w:after="0"/>
        <w:rPr>
          <w:rFonts w:cstheme="minorHAnsi"/>
          <w:sz w:val="24"/>
          <w:szCs w:val="24"/>
        </w:rPr>
      </w:pPr>
    </w:p>
    <w:p w:rsidR="00A72551" w:rsidRPr="00E72D04" w:rsidRDefault="00A72551" w:rsidP="00A72551">
      <w:pPr>
        <w:spacing w:after="0"/>
        <w:rPr>
          <w:rFonts w:cstheme="minorHAnsi"/>
          <w:sz w:val="24"/>
          <w:szCs w:val="24"/>
          <w:vertAlign w:val="superscript"/>
        </w:rPr>
      </w:pPr>
      <w:r w:rsidRPr="00DB436A">
        <w:rPr>
          <w:rFonts w:cstheme="minorHAnsi"/>
          <w:sz w:val="24"/>
          <w:szCs w:val="24"/>
        </w:rPr>
        <w:t>On 3</w:t>
      </w:r>
      <w:r w:rsidRPr="00DB436A">
        <w:rPr>
          <w:rFonts w:cstheme="minorHAnsi"/>
          <w:sz w:val="24"/>
          <w:szCs w:val="24"/>
          <w:vertAlign w:val="superscript"/>
        </w:rPr>
        <w:t>rd</w:t>
      </w:r>
      <w:r w:rsidRPr="00DB436A">
        <w:rPr>
          <w:rFonts w:cstheme="minorHAnsi"/>
          <w:sz w:val="24"/>
          <w:szCs w:val="24"/>
        </w:rPr>
        <w:t xml:space="preserve"> February 1918, Kate Emily Herring, of </w:t>
      </w:r>
      <w:r w:rsidRPr="00DB436A">
        <w:rPr>
          <w:rFonts w:cstheme="minorHAnsi"/>
          <w:i/>
          <w:sz w:val="24"/>
          <w:szCs w:val="24"/>
        </w:rPr>
        <w:t>Sheen</w:t>
      </w:r>
      <w:r w:rsidRPr="00DB436A">
        <w:rPr>
          <w:rFonts w:cstheme="minorHAnsi"/>
          <w:sz w:val="24"/>
          <w:szCs w:val="24"/>
        </w:rPr>
        <w:t>, Beecroft, widow of L. G. Herring, died at a private hospital.</w:t>
      </w:r>
      <w:r w:rsidR="00E72D04" w:rsidRPr="00D67C25">
        <w:rPr>
          <w:rFonts w:cstheme="minorHAnsi"/>
          <w:b/>
          <w:sz w:val="24"/>
          <w:szCs w:val="24"/>
          <w:vertAlign w:val="superscript"/>
        </w:rPr>
        <w:t>20</w:t>
      </w:r>
    </w:p>
    <w:p w:rsidR="00742DDB" w:rsidRDefault="00742DDB" w:rsidP="00742DDB">
      <w:pPr>
        <w:spacing w:after="0"/>
        <w:rPr>
          <w:rFonts w:cstheme="minorHAnsi"/>
          <w:sz w:val="24"/>
          <w:szCs w:val="24"/>
        </w:rPr>
      </w:pPr>
    </w:p>
    <w:p w:rsidR="00DB436A" w:rsidRPr="00DB436A" w:rsidRDefault="00DB436A" w:rsidP="00DB436A">
      <w:pPr>
        <w:spacing w:after="0"/>
        <w:jc w:val="center"/>
        <w:rPr>
          <w:rFonts w:cstheme="minorHAnsi"/>
          <w:b/>
          <w:sz w:val="24"/>
          <w:szCs w:val="24"/>
        </w:rPr>
      </w:pPr>
      <w:r w:rsidRPr="00DB436A">
        <w:rPr>
          <w:rFonts w:cstheme="minorHAnsi"/>
          <w:b/>
          <w:sz w:val="24"/>
          <w:szCs w:val="24"/>
        </w:rPr>
        <w:t>Waverley Cemetery, Plot: W-19-CE-SP-6086</w:t>
      </w:r>
    </w:p>
    <w:p w:rsidR="00DB436A" w:rsidRPr="00DB436A" w:rsidRDefault="00DB436A" w:rsidP="00DB436A">
      <w:pPr>
        <w:spacing w:after="0"/>
        <w:jc w:val="center"/>
        <w:rPr>
          <w:rFonts w:cstheme="minorHAnsi"/>
          <w:sz w:val="24"/>
          <w:szCs w:val="24"/>
        </w:rPr>
      </w:pPr>
      <w:r>
        <w:rPr>
          <w:noProof/>
          <w:lang w:eastAsia="en-AU"/>
        </w:rPr>
        <w:drawing>
          <wp:inline distT="0" distB="0" distL="0" distR="0" wp14:anchorId="76310A5F" wp14:editId="5267E5E8">
            <wp:extent cx="3009900" cy="208922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6404" cy="2107622"/>
                    </a:xfrm>
                    <a:prstGeom prst="rect">
                      <a:avLst/>
                    </a:prstGeom>
                  </pic:spPr>
                </pic:pic>
              </a:graphicData>
            </a:graphic>
          </wp:inline>
        </w:drawing>
      </w:r>
    </w:p>
    <w:p w:rsidR="00DB436A" w:rsidRPr="00DB436A" w:rsidRDefault="00DB436A" w:rsidP="00742DDB">
      <w:pPr>
        <w:spacing w:after="0"/>
        <w:rPr>
          <w:rFonts w:cstheme="minorHAnsi"/>
          <w:sz w:val="24"/>
          <w:szCs w:val="24"/>
        </w:rPr>
      </w:pPr>
    </w:p>
    <w:p w:rsidR="00A72551" w:rsidRPr="00DB436A" w:rsidRDefault="00A72551" w:rsidP="00742DDB">
      <w:pPr>
        <w:spacing w:after="0"/>
        <w:rPr>
          <w:rFonts w:cstheme="minorHAnsi"/>
          <w:sz w:val="24"/>
          <w:szCs w:val="24"/>
        </w:rPr>
      </w:pPr>
      <w:r w:rsidRPr="00DB436A">
        <w:rPr>
          <w:rFonts w:cstheme="minorHAnsi"/>
          <w:sz w:val="24"/>
          <w:szCs w:val="24"/>
        </w:rPr>
        <w:t>In April 1919 a subdivision sale of portion of the Herring Estate, Beecroft, was held by Richardson and Wrench, Ltd.</w:t>
      </w:r>
    </w:p>
    <w:p w:rsidR="00A72551" w:rsidRPr="00DB436A" w:rsidRDefault="00A72551" w:rsidP="00A72551">
      <w:pPr>
        <w:spacing w:after="0"/>
        <w:rPr>
          <w:rFonts w:cstheme="minorHAnsi"/>
          <w:sz w:val="24"/>
          <w:szCs w:val="24"/>
        </w:rPr>
      </w:pPr>
      <w:r w:rsidRPr="00DB436A">
        <w:rPr>
          <w:rFonts w:cstheme="minorHAnsi"/>
          <w:sz w:val="24"/>
          <w:szCs w:val="24"/>
        </w:rPr>
        <w:t>‘On Saturday, April 12</w:t>
      </w:r>
      <w:r w:rsidRPr="00DB436A">
        <w:rPr>
          <w:rFonts w:cstheme="minorHAnsi"/>
          <w:sz w:val="24"/>
          <w:szCs w:val="24"/>
          <w:vertAlign w:val="superscript"/>
        </w:rPr>
        <w:t>th</w:t>
      </w:r>
      <w:r w:rsidRPr="00DB436A">
        <w:rPr>
          <w:rFonts w:cstheme="minorHAnsi"/>
          <w:sz w:val="24"/>
          <w:szCs w:val="24"/>
        </w:rPr>
        <w:t>, Messrs. Richardson and WRENCH WILL OFFER ON BEHALF OF THE TRUSTEES FOR POSITIVE SALE, THE PICK OF Beecroft, known as the Herring estate, fronting Hannah, York, and Malton-streets., situate opposite “Sheen,” the residence of the late Mr. Leslie Herring, also one of the picked sites of Beecroft of 2 acres, fronting Garret-road, handy to the station, and a choice building site, between Beecroft and Cheltenham.’</w:t>
      </w:r>
      <w:r w:rsidR="00AD2AC2" w:rsidRPr="00D67C25">
        <w:rPr>
          <w:rFonts w:cstheme="minorHAnsi"/>
          <w:b/>
          <w:sz w:val="24"/>
          <w:szCs w:val="24"/>
          <w:vertAlign w:val="superscript"/>
        </w:rPr>
        <w:t>21</w:t>
      </w:r>
      <w:r w:rsidRPr="00DB436A">
        <w:rPr>
          <w:rFonts w:cstheme="minorHAnsi"/>
          <w:sz w:val="24"/>
          <w:szCs w:val="24"/>
        </w:rPr>
        <w:t xml:space="preserve">  </w:t>
      </w:r>
    </w:p>
    <w:p w:rsidR="00A72551" w:rsidRPr="00DB436A" w:rsidRDefault="00A72551" w:rsidP="00A72551">
      <w:pPr>
        <w:spacing w:after="0"/>
        <w:rPr>
          <w:rFonts w:cstheme="minorHAnsi"/>
          <w:bCs/>
          <w:sz w:val="24"/>
          <w:szCs w:val="24"/>
        </w:rPr>
      </w:pPr>
    </w:p>
    <w:p w:rsidR="003D3A50" w:rsidRPr="00AD2AC2" w:rsidRDefault="00A72551" w:rsidP="003D3A50">
      <w:pPr>
        <w:spacing w:after="0"/>
        <w:rPr>
          <w:rFonts w:cstheme="minorHAnsi"/>
          <w:sz w:val="24"/>
          <w:szCs w:val="24"/>
          <w:vertAlign w:val="superscript"/>
        </w:rPr>
      </w:pPr>
      <w:r w:rsidRPr="00DB436A">
        <w:rPr>
          <w:rFonts w:cstheme="minorHAnsi"/>
          <w:bCs/>
          <w:sz w:val="24"/>
          <w:szCs w:val="24"/>
        </w:rPr>
        <w:t>In September</w:t>
      </w:r>
      <w:r w:rsidR="003D3A50" w:rsidRPr="00DB436A">
        <w:rPr>
          <w:rFonts w:cstheme="minorHAnsi"/>
          <w:bCs/>
          <w:sz w:val="24"/>
          <w:szCs w:val="24"/>
        </w:rPr>
        <w:t xml:space="preserve"> 1919, </w:t>
      </w:r>
      <w:r w:rsidR="003D3A50" w:rsidRPr="00DB436A">
        <w:rPr>
          <w:rFonts w:cstheme="minorHAnsi"/>
          <w:sz w:val="24"/>
          <w:szCs w:val="24"/>
        </w:rPr>
        <w:t xml:space="preserve">Acting under instructions received from The Permanent Trustee Coy. </w:t>
      </w:r>
      <w:r w:rsidR="00D67C25">
        <w:rPr>
          <w:rFonts w:cstheme="minorHAnsi"/>
          <w:sz w:val="24"/>
          <w:szCs w:val="24"/>
        </w:rPr>
        <w:t>o</w:t>
      </w:r>
      <w:r w:rsidR="003D3A50" w:rsidRPr="00DB436A">
        <w:rPr>
          <w:rFonts w:cstheme="minorHAnsi"/>
          <w:sz w:val="24"/>
          <w:szCs w:val="24"/>
        </w:rPr>
        <w:t>f N. S. WALES, Trustees</w:t>
      </w:r>
      <w:r w:rsidR="00D67C25">
        <w:rPr>
          <w:rFonts w:cstheme="minorHAnsi"/>
          <w:sz w:val="24"/>
          <w:szCs w:val="24"/>
        </w:rPr>
        <w:t>,</w:t>
      </w:r>
      <w:r w:rsidR="003D3A50" w:rsidRPr="00DB436A">
        <w:rPr>
          <w:rFonts w:cstheme="minorHAnsi"/>
          <w:sz w:val="24"/>
          <w:szCs w:val="24"/>
        </w:rPr>
        <w:t xml:space="preserve"> in the Estate of Mrs. Kate Emily Herring, deceased, will sell by Public Auction, at Batlow, on Sept. 6</w:t>
      </w:r>
      <w:r w:rsidR="003D3A50" w:rsidRPr="00DB436A">
        <w:rPr>
          <w:rFonts w:cstheme="minorHAnsi"/>
          <w:sz w:val="24"/>
          <w:szCs w:val="24"/>
          <w:vertAlign w:val="superscript"/>
        </w:rPr>
        <w:t>th</w:t>
      </w:r>
      <w:r w:rsidR="003D3A50" w:rsidRPr="00DB436A">
        <w:rPr>
          <w:rFonts w:cstheme="minorHAnsi"/>
          <w:sz w:val="24"/>
          <w:szCs w:val="24"/>
        </w:rPr>
        <w:t>, 1919, Lot 5, consisting of about 66ft frontage to road, depth about 188ft. 8 1/2 ins. containing 1 rood, 5 ½ perches.  Torrens title.</w:t>
      </w:r>
      <w:r w:rsidR="00AD2AC2" w:rsidRPr="00D67C25">
        <w:rPr>
          <w:rFonts w:cstheme="minorHAnsi"/>
          <w:b/>
          <w:sz w:val="24"/>
          <w:szCs w:val="24"/>
          <w:vertAlign w:val="superscript"/>
        </w:rPr>
        <w:t>22</w:t>
      </w:r>
    </w:p>
    <w:p w:rsidR="00A72551" w:rsidRPr="00DB436A" w:rsidRDefault="00A72551" w:rsidP="00A72551">
      <w:pPr>
        <w:spacing w:after="0"/>
        <w:rPr>
          <w:rFonts w:cstheme="minorHAnsi"/>
          <w:bCs/>
          <w:sz w:val="24"/>
          <w:szCs w:val="24"/>
        </w:rPr>
      </w:pPr>
    </w:p>
    <w:p w:rsidR="003D3A50" w:rsidRPr="00DB436A" w:rsidRDefault="003D3A50" w:rsidP="003D3A50">
      <w:pPr>
        <w:spacing w:after="0"/>
        <w:rPr>
          <w:rFonts w:cstheme="minorHAnsi"/>
          <w:sz w:val="24"/>
          <w:szCs w:val="24"/>
        </w:rPr>
      </w:pPr>
      <w:r w:rsidRPr="00DB436A">
        <w:rPr>
          <w:rFonts w:cstheme="minorHAnsi"/>
          <w:bCs/>
          <w:sz w:val="24"/>
          <w:szCs w:val="24"/>
        </w:rPr>
        <w:t>In October 1919, b</w:t>
      </w:r>
      <w:r w:rsidRPr="00DB436A">
        <w:rPr>
          <w:rFonts w:cstheme="minorHAnsi"/>
          <w:sz w:val="24"/>
          <w:szCs w:val="24"/>
        </w:rPr>
        <w:t>y order of the Permanent Trustee Company of New South Wales, Limited, in the late L. G. Herring’s Settlement, BEECROFT, SHEEN SUBDIVISION, the following was auctioned:</w:t>
      </w:r>
    </w:p>
    <w:p w:rsidR="003D3A50" w:rsidRPr="00DB436A" w:rsidRDefault="003D3A50" w:rsidP="003D3A50">
      <w:pPr>
        <w:spacing w:after="0"/>
        <w:rPr>
          <w:rFonts w:cstheme="minorHAnsi"/>
          <w:sz w:val="24"/>
          <w:szCs w:val="24"/>
        </w:rPr>
      </w:pPr>
      <w:r w:rsidRPr="00DB436A">
        <w:rPr>
          <w:rFonts w:cstheme="minorHAnsi"/>
          <w:sz w:val="24"/>
          <w:szCs w:val="24"/>
        </w:rPr>
        <w:t>‘16 Building Lots, Each 66 feet.</w:t>
      </w:r>
    </w:p>
    <w:p w:rsidR="003D3A50" w:rsidRPr="00DB436A" w:rsidRDefault="003D3A50" w:rsidP="003D3A50">
      <w:pPr>
        <w:spacing w:after="0"/>
        <w:rPr>
          <w:rFonts w:cstheme="minorHAnsi"/>
          <w:sz w:val="24"/>
          <w:szCs w:val="24"/>
        </w:rPr>
      </w:pPr>
      <w:r w:rsidRPr="00DB436A">
        <w:rPr>
          <w:rFonts w:cstheme="minorHAnsi"/>
          <w:sz w:val="24"/>
          <w:szCs w:val="24"/>
        </w:rPr>
        <w:t xml:space="preserve">Frontages to Hannah and York streets, and Malton-road, by depths of 280 ½ feet, together with </w:t>
      </w:r>
      <w:r w:rsidRPr="00DB436A">
        <w:rPr>
          <w:rFonts w:cstheme="minorHAnsi"/>
          <w:b/>
          <w:i/>
          <w:sz w:val="24"/>
          <w:szCs w:val="24"/>
        </w:rPr>
        <w:t>Sheen</w:t>
      </w:r>
      <w:r w:rsidRPr="00DB436A">
        <w:rPr>
          <w:rFonts w:cstheme="minorHAnsi"/>
          <w:sz w:val="24"/>
          <w:szCs w:val="24"/>
        </w:rPr>
        <w:t>, an attractive Home of modern and convenient design, built of brick, shingle roof, containing 9 rooms, 2 bathrooms, kitchen, pantry,</w:t>
      </w:r>
      <w:r w:rsidR="00D67C25">
        <w:rPr>
          <w:rFonts w:cstheme="minorHAnsi"/>
          <w:sz w:val="24"/>
          <w:szCs w:val="24"/>
        </w:rPr>
        <w:t xml:space="preserve"> storeroom, hot water service, d</w:t>
      </w:r>
      <w:r w:rsidRPr="00DB436A">
        <w:rPr>
          <w:rFonts w:cstheme="minorHAnsi"/>
          <w:sz w:val="24"/>
          <w:szCs w:val="24"/>
        </w:rPr>
        <w:t>etached laundry, 3-stall stable, man’s room, and small bedroom, garage.  The position is a corner one.</w:t>
      </w:r>
    </w:p>
    <w:p w:rsidR="003D3A50" w:rsidRPr="00AD2AC2" w:rsidRDefault="003D3A50" w:rsidP="003D3A50">
      <w:pPr>
        <w:spacing w:after="0"/>
        <w:rPr>
          <w:rFonts w:cstheme="minorHAnsi"/>
          <w:sz w:val="24"/>
          <w:szCs w:val="24"/>
          <w:vertAlign w:val="superscript"/>
        </w:rPr>
      </w:pPr>
      <w:r w:rsidRPr="00DB436A">
        <w:rPr>
          <w:rFonts w:cstheme="minorHAnsi"/>
          <w:sz w:val="24"/>
          <w:szCs w:val="24"/>
        </w:rPr>
        <w:t>The Property will be offered as a whole, or with less area, and if not disposed of, then in Subdivision as above.’</w:t>
      </w:r>
      <w:r w:rsidR="00AD2AC2" w:rsidRPr="00D67C25">
        <w:rPr>
          <w:rFonts w:cstheme="minorHAnsi"/>
          <w:b/>
          <w:sz w:val="24"/>
          <w:szCs w:val="24"/>
          <w:vertAlign w:val="superscript"/>
        </w:rPr>
        <w:t>23</w:t>
      </w:r>
    </w:p>
    <w:p w:rsidR="003D3A50" w:rsidRPr="00DB436A" w:rsidRDefault="003D3A50" w:rsidP="003D3A50">
      <w:pPr>
        <w:spacing w:after="0"/>
        <w:rPr>
          <w:rFonts w:cstheme="minorHAnsi"/>
          <w:sz w:val="24"/>
          <w:szCs w:val="24"/>
        </w:rPr>
      </w:pPr>
    </w:p>
    <w:p w:rsidR="003D3A50" w:rsidRPr="00DB436A" w:rsidRDefault="003D3A50" w:rsidP="003D3A50">
      <w:pPr>
        <w:spacing w:after="0"/>
        <w:rPr>
          <w:rFonts w:cstheme="minorHAnsi"/>
          <w:sz w:val="24"/>
          <w:szCs w:val="24"/>
        </w:rPr>
      </w:pPr>
      <w:r w:rsidRPr="00DB436A">
        <w:rPr>
          <w:rFonts w:cstheme="minorHAnsi"/>
          <w:sz w:val="24"/>
          <w:szCs w:val="24"/>
        </w:rPr>
        <w:t>In January 1922, By order of the Permanent Trustee Co. of N.S.W., Limited, in the Estate of Kate Emily Herring, deceased, the following was auctioned:</w:t>
      </w:r>
    </w:p>
    <w:p w:rsidR="003D3A50" w:rsidRPr="00DB436A" w:rsidRDefault="003D3A50" w:rsidP="003D3A50">
      <w:pPr>
        <w:spacing w:after="0"/>
        <w:rPr>
          <w:rFonts w:cstheme="minorHAnsi"/>
          <w:sz w:val="24"/>
          <w:szCs w:val="24"/>
        </w:rPr>
      </w:pPr>
      <w:r w:rsidRPr="00DB436A">
        <w:rPr>
          <w:rFonts w:cstheme="minorHAnsi"/>
          <w:sz w:val="24"/>
          <w:szCs w:val="24"/>
        </w:rPr>
        <w:t>‘CRONULLA SITES.</w:t>
      </w:r>
    </w:p>
    <w:p w:rsidR="003D3A50" w:rsidRPr="00DB436A" w:rsidRDefault="003D3A50" w:rsidP="003D3A50">
      <w:pPr>
        <w:spacing w:after="0"/>
        <w:rPr>
          <w:rFonts w:cstheme="minorHAnsi"/>
          <w:sz w:val="24"/>
          <w:szCs w:val="24"/>
        </w:rPr>
      </w:pPr>
      <w:r w:rsidRPr="00DB436A">
        <w:rPr>
          <w:rFonts w:cstheme="minorHAnsi"/>
          <w:sz w:val="24"/>
          <w:szCs w:val="24"/>
        </w:rPr>
        <w:t>1</w:t>
      </w:r>
      <w:r w:rsidRPr="00DB436A">
        <w:rPr>
          <w:rFonts w:cstheme="minorHAnsi"/>
          <w:sz w:val="24"/>
          <w:szCs w:val="24"/>
          <w:vertAlign w:val="superscript"/>
        </w:rPr>
        <w:t>st</w:t>
      </w:r>
      <w:r w:rsidRPr="00DB436A">
        <w:rPr>
          <w:rFonts w:cstheme="minorHAnsi"/>
          <w:sz w:val="24"/>
          <w:szCs w:val="24"/>
        </w:rPr>
        <w:t>. – Lot 29, Dunmore Heights Estate, 52ft 11in to Kurranalla Beach-road, by 178ft 4in along Cawarra-road.</w:t>
      </w:r>
    </w:p>
    <w:p w:rsidR="003D3A50" w:rsidRPr="00DB436A" w:rsidRDefault="003D3A50" w:rsidP="003D3A50">
      <w:pPr>
        <w:spacing w:after="0"/>
        <w:rPr>
          <w:rFonts w:cstheme="minorHAnsi"/>
          <w:sz w:val="24"/>
          <w:szCs w:val="24"/>
        </w:rPr>
      </w:pPr>
      <w:r w:rsidRPr="00DB436A">
        <w:rPr>
          <w:rFonts w:cstheme="minorHAnsi"/>
          <w:sz w:val="24"/>
          <w:szCs w:val="24"/>
        </w:rPr>
        <w:t>2</w:t>
      </w:r>
      <w:r w:rsidRPr="00DB436A">
        <w:rPr>
          <w:rFonts w:cstheme="minorHAnsi"/>
          <w:sz w:val="24"/>
          <w:szCs w:val="24"/>
          <w:vertAlign w:val="superscript"/>
        </w:rPr>
        <w:t>nd</w:t>
      </w:r>
      <w:r w:rsidRPr="00DB436A">
        <w:rPr>
          <w:rFonts w:cstheme="minorHAnsi"/>
          <w:sz w:val="24"/>
          <w:szCs w:val="24"/>
        </w:rPr>
        <w:t>. – Lot 24, Five Ways Estate, 53ft 4in Port Hacking-road (Port Hacking), by 215ft to 231ft.</w:t>
      </w:r>
    </w:p>
    <w:p w:rsidR="003D3A50" w:rsidRPr="00DB436A" w:rsidRDefault="003D3A50" w:rsidP="003D3A50">
      <w:pPr>
        <w:spacing w:after="0"/>
        <w:rPr>
          <w:rFonts w:cstheme="minorHAnsi"/>
          <w:sz w:val="24"/>
          <w:szCs w:val="24"/>
        </w:rPr>
      </w:pPr>
      <w:r w:rsidRPr="00DB436A">
        <w:rPr>
          <w:rFonts w:cstheme="minorHAnsi"/>
          <w:sz w:val="24"/>
          <w:szCs w:val="24"/>
        </w:rPr>
        <w:t>3</w:t>
      </w:r>
      <w:r w:rsidRPr="00DB436A">
        <w:rPr>
          <w:rFonts w:cstheme="minorHAnsi"/>
          <w:sz w:val="24"/>
          <w:szCs w:val="24"/>
          <w:vertAlign w:val="superscript"/>
        </w:rPr>
        <w:t>rd</w:t>
      </w:r>
      <w:r w:rsidRPr="00DB436A">
        <w:rPr>
          <w:rFonts w:cstheme="minorHAnsi"/>
          <w:sz w:val="24"/>
          <w:szCs w:val="24"/>
        </w:rPr>
        <w:t>. – Lot 18, Charley’s Corner Estate, 40ft to Willarong-road, by 288ft.</w:t>
      </w:r>
    </w:p>
    <w:p w:rsidR="003D3A50" w:rsidRPr="00DB436A" w:rsidRDefault="003D3A50" w:rsidP="003D3A50">
      <w:pPr>
        <w:spacing w:after="0"/>
        <w:rPr>
          <w:rFonts w:cstheme="minorHAnsi"/>
          <w:sz w:val="24"/>
          <w:szCs w:val="24"/>
        </w:rPr>
      </w:pPr>
      <w:r w:rsidRPr="00DB436A">
        <w:rPr>
          <w:rFonts w:cstheme="minorHAnsi"/>
          <w:sz w:val="24"/>
          <w:szCs w:val="24"/>
        </w:rPr>
        <w:t>4</w:t>
      </w:r>
      <w:r w:rsidRPr="00DB436A">
        <w:rPr>
          <w:rFonts w:cstheme="minorHAnsi"/>
          <w:sz w:val="24"/>
          <w:szCs w:val="24"/>
          <w:vertAlign w:val="superscript"/>
        </w:rPr>
        <w:t>th</w:t>
      </w:r>
      <w:r w:rsidRPr="00DB436A">
        <w:rPr>
          <w:rFonts w:cstheme="minorHAnsi"/>
          <w:sz w:val="24"/>
          <w:szCs w:val="24"/>
        </w:rPr>
        <w:t>. – Lot 50, Sturt Estate, 56ft 7in to Sturt-road, depth 213ft to 217ft.</w:t>
      </w:r>
    </w:p>
    <w:p w:rsidR="003D3A50" w:rsidRPr="00DB436A" w:rsidRDefault="003D3A50" w:rsidP="003D3A50">
      <w:pPr>
        <w:spacing w:after="0"/>
        <w:rPr>
          <w:rFonts w:cstheme="minorHAnsi"/>
          <w:sz w:val="24"/>
          <w:szCs w:val="24"/>
        </w:rPr>
      </w:pPr>
      <w:r w:rsidRPr="00DB436A">
        <w:rPr>
          <w:rFonts w:cstheme="minorHAnsi"/>
          <w:sz w:val="24"/>
          <w:szCs w:val="24"/>
        </w:rPr>
        <w:t>5</w:t>
      </w:r>
      <w:r w:rsidRPr="00DB436A">
        <w:rPr>
          <w:rFonts w:cstheme="minorHAnsi"/>
          <w:sz w:val="24"/>
          <w:szCs w:val="24"/>
          <w:vertAlign w:val="superscript"/>
        </w:rPr>
        <w:t>th</w:t>
      </w:r>
      <w:r w:rsidRPr="00DB436A">
        <w:rPr>
          <w:rFonts w:cstheme="minorHAnsi"/>
          <w:sz w:val="24"/>
          <w:szCs w:val="24"/>
        </w:rPr>
        <w:t>. – Lots 41 and 42, Sturt Estate, 132ft to Locksley-street, by 165ft along Sturt-road.</w:t>
      </w:r>
    </w:p>
    <w:p w:rsidR="003D3A50" w:rsidRPr="00DB436A" w:rsidRDefault="003D3A50" w:rsidP="003D3A50">
      <w:pPr>
        <w:spacing w:after="0"/>
        <w:rPr>
          <w:rFonts w:cstheme="minorHAnsi"/>
          <w:sz w:val="24"/>
          <w:szCs w:val="24"/>
        </w:rPr>
      </w:pPr>
      <w:r w:rsidRPr="00DB436A">
        <w:rPr>
          <w:rFonts w:cstheme="minorHAnsi"/>
          <w:sz w:val="24"/>
          <w:szCs w:val="24"/>
        </w:rPr>
        <w:t>6</w:t>
      </w:r>
      <w:r w:rsidRPr="00DB436A">
        <w:rPr>
          <w:rFonts w:cstheme="minorHAnsi"/>
          <w:sz w:val="24"/>
          <w:szCs w:val="24"/>
          <w:vertAlign w:val="superscript"/>
        </w:rPr>
        <w:t>th</w:t>
      </w:r>
      <w:r w:rsidRPr="00DB436A">
        <w:rPr>
          <w:rFonts w:cstheme="minorHAnsi"/>
          <w:sz w:val="24"/>
          <w:szCs w:val="24"/>
        </w:rPr>
        <w:t>. – Lots 43 and 44, Sturt Estate, 151ft to Locksley-street, by 162ft, width at rear 107ft 8n.</w:t>
      </w:r>
    </w:p>
    <w:p w:rsidR="003D3A50" w:rsidRPr="00AD2AC2" w:rsidRDefault="003D3A50" w:rsidP="003D3A50">
      <w:pPr>
        <w:spacing w:after="0"/>
        <w:rPr>
          <w:rFonts w:cstheme="minorHAnsi"/>
          <w:sz w:val="24"/>
          <w:szCs w:val="24"/>
          <w:vertAlign w:val="superscript"/>
        </w:rPr>
      </w:pPr>
      <w:r w:rsidRPr="00DB436A">
        <w:rPr>
          <w:rFonts w:cstheme="minorHAnsi"/>
          <w:sz w:val="24"/>
          <w:szCs w:val="24"/>
        </w:rPr>
        <w:t>7</w:t>
      </w:r>
      <w:r w:rsidRPr="00DB436A">
        <w:rPr>
          <w:rFonts w:cstheme="minorHAnsi"/>
          <w:sz w:val="24"/>
          <w:szCs w:val="24"/>
          <w:vertAlign w:val="superscript"/>
        </w:rPr>
        <w:t>th</w:t>
      </w:r>
      <w:r w:rsidRPr="00DB436A">
        <w:rPr>
          <w:rFonts w:cstheme="minorHAnsi"/>
          <w:sz w:val="24"/>
          <w:szCs w:val="24"/>
        </w:rPr>
        <w:t>. – Lot 42, Cronulla Beach Hotel Estate, 60ft to Gosport-street, by 180ft.’</w:t>
      </w:r>
      <w:r w:rsidR="00AD2AC2" w:rsidRPr="00D67C25">
        <w:rPr>
          <w:rFonts w:cstheme="minorHAnsi"/>
          <w:b/>
          <w:sz w:val="24"/>
          <w:szCs w:val="24"/>
          <w:vertAlign w:val="superscript"/>
        </w:rPr>
        <w:t>24</w:t>
      </w:r>
    </w:p>
    <w:p w:rsidR="003D3A50" w:rsidRPr="00DB436A" w:rsidRDefault="003D3A50" w:rsidP="003D3A50">
      <w:pPr>
        <w:spacing w:after="0"/>
        <w:rPr>
          <w:rFonts w:cstheme="minorHAnsi"/>
          <w:sz w:val="24"/>
          <w:szCs w:val="24"/>
        </w:rPr>
      </w:pPr>
    </w:p>
    <w:p w:rsidR="003D3A50" w:rsidRPr="00DB436A" w:rsidRDefault="0079719F" w:rsidP="003D3A50">
      <w:pPr>
        <w:spacing w:after="0"/>
        <w:rPr>
          <w:rFonts w:cstheme="minorHAnsi"/>
          <w:sz w:val="24"/>
          <w:szCs w:val="24"/>
        </w:rPr>
      </w:pPr>
      <w:r w:rsidRPr="00DB436A">
        <w:rPr>
          <w:rFonts w:cstheme="minorHAnsi"/>
          <w:sz w:val="24"/>
          <w:szCs w:val="24"/>
        </w:rPr>
        <w:t>In October 1922, u</w:t>
      </w:r>
      <w:r w:rsidR="003D3A50" w:rsidRPr="00DB436A">
        <w:rPr>
          <w:rFonts w:cstheme="minorHAnsi"/>
          <w:sz w:val="24"/>
          <w:szCs w:val="24"/>
        </w:rPr>
        <w:t>nder instructions from The Permanent Trustee Company of N.S.W., Limited, as Trustees in the estate and Settlement of the late Lesley George Herring, the following was auctioned:</w:t>
      </w:r>
    </w:p>
    <w:p w:rsidR="003D3A50" w:rsidRPr="00DB436A" w:rsidRDefault="003D3A50" w:rsidP="003D3A50">
      <w:pPr>
        <w:spacing w:after="0"/>
        <w:rPr>
          <w:rFonts w:cstheme="minorHAnsi"/>
          <w:sz w:val="24"/>
          <w:szCs w:val="24"/>
        </w:rPr>
      </w:pPr>
      <w:r w:rsidRPr="00DB436A">
        <w:rPr>
          <w:rFonts w:cstheme="minorHAnsi"/>
          <w:sz w:val="24"/>
          <w:szCs w:val="24"/>
        </w:rPr>
        <w:t>‘BEECROFT.</w:t>
      </w:r>
    </w:p>
    <w:p w:rsidR="003D3A50" w:rsidRPr="00DB436A" w:rsidRDefault="003D3A50" w:rsidP="003D3A50">
      <w:pPr>
        <w:spacing w:after="0"/>
        <w:rPr>
          <w:rFonts w:cstheme="minorHAnsi"/>
          <w:sz w:val="24"/>
          <w:szCs w:val="24"/>
        </w:rPr>
      </w:pPr>
      <w:r w:rsidRPr="00DB436A">
        <w:rPr>
          <w:rFonts w:cstheme="minorHAnsi"/>
          <w:sz w:val="24"/>
          <w:szCs w:val="24"/>
        </w:rPr>
        <w:t>Large Home Areas, convenient to Station, comprising 14 Lots.</w:t>
      </w:r>
    </w:p>
    <w:p w:rsidR="003D3A50" w:rsidRPr="00DB436A" w:rsidRDefault="003D3A50" w:rsidP="003D3A50">
      <w:pPr>
        <w:spacing w:after="0"/>
        <w:rPr>
          <w:rFonts w:cstheme="minorHAnsi"/>
          <w:sz w:val="24"/>
          <w:szCs w:val="24"/>
        </w:rPr>
      </w:pPr>
      <w:r w:rsidRPr="00DB436A">
        <w:rPr>
          <w:rFonts w:cstheme="minorHAnsi"/>
          <w:sz w:val="24"/>
          <w:szCs w:val="24"/>
        </w:rPr>
        <w:t>In area about 2 ½ acres each, including W.B. cottage, “Sunningdale,” on portion 730.</w:t>
      </w:r>
    </w:p>
    <w:p w:rsidR="003D3A50" w:rsidRPr="00AD2AC2" w:rsidRDefault="003D3A50" w:rsidP="003D3A50">
      <w:pPr>
        <w:spacing w:after="0"/>
        <w:rPr>
          <w:rFonts w:cstheme="minorHAnsi"/>
          <w:sz w:val="24"/>
          <w:szCs w:val="24"/>
          <w:vertAlign w:val="superscript"/>
        </w:rPr>
      </w:pPr>
      <w:r w:rsidRPr="00DB436A">
        <w:rPr>
          <w:rFonts w:cstheme="minorHAnsi"/>
          <w:sz w:val="24"/>
          <w:szCs w:val="24"/>
        </w:rPr>
        <w:t>Deep, rich, well worked soil, sheltered and shaded, fronting Malton, Hull and Albert Roads.’</w:t>
      </w:r>
      <w:r w:rsidR="00AD2AC2" w:rsidRPr="00D67C25">
        <w:rPr>
          <w:rFonts w:cstheme="minorHAnsi"/>
          <w:b/>
          <w:sz w:val="24"/>
          <w:szCs w:val="24"/>
          <w:vertAlign w:val="superscript"/>
        </w:rPr>
        <w:t>25</w:t>
      </w:r>
    </w:p>
    <w:p w:rsidR="003D3A50" w:rsidRPr="00DB436A" w:rsidRDefault="003D3A50" w:rsidP="003D3A50">
      <w:pPr>
        <w:spacing w:after="0"/>
        <w:rPr>
          <w:rFonts w:cstheme="minorHAnsi"/>
          <w:sz w:val="24"/>
          <w:szCs w:val="24"/>
        </w:rPr>
      </w:pPr>
    </w:p>
    <w:p w:rsidR="0079719F" w:rsidRPr="00DB436A" w:rsidRDefault="003D3A50" w:rsidP="0079719F">
      <w:pPr>
        <w:spacing w:after="0"/>
        <w:rPr>
          <w:rFonts w:cstheme="minorHAnsi"/>
          <w:sz w:val="24"/>
          <w:szCs w:val="24"/>
        </w:rPr>
      </w:pPr>
      <w:r w:rsidRPr="00DB436A">
        <w:rPr>
          <w:rFonts w:cstheme="minorHAnsi"/>
          <w:sz w:val="24"/>
          <w:szCs w:val="24"/>
        </w:rPr>
        <w:t>In May 1924</w:t>
      </w:r>
      <w:r w:rsidR="0079719F" w:rsidRPr="00DB436A">
        <w:rPr>
          <w:rFonts w:cstheme="minorHAnsi"/>
          <w:sz w:val="24"/>
          <w:szCs w:val="24"/>
        </w:rPr>
        <w:t xml:space="preserve"> the bungalow villa, formerly the residence of Mr. Leslie Herring, at Beecroft, was secured for a second Twilight Home, a hostel for aged gentle-women. [The first Twilight Home was at Mosman.]</w:t>
      </w:r>
    </w:p>
    <w:p w:rsidR="0079719F" w:rsidRPr="00DB436A" w:rsidRDefault="0079719F" w:rsidP="0079719F">
      <w:pPr>
        <w:spacing w:after="0"/>
        <w:rPr>
          <w:rFonts w:cstheme="minorHAnsi"/>
          <w:sz w:val="24"/>
          <w:szCs w:val="24"/>
        </w:rPr>
      </w:pPr>
      <w:r w:rsidRPr="00DB436A">
        <w:rPr>
          <w:rFonts w:cstheme="minorHAnsi"/>
          <w:sz w:val="24"/>
          <w:szCs w:val="24"/>
        </w:rPr>
        <w:t>‘The original home has undergone some notable extension, a two-storey addition at the rear, a cottage wing, giving a closed verandah entrance and exit to all other parts of the composite building, which contains 15 bedrooms, 4 sitting and recreation rooms, together with adequate bathrooms, pantries, kitchens, and other rooms.  Mr. W. M. Nixon was the architect for the remodelling, and Mr. George Lennon the contractor.</w:t>
      </w:r>
    </w:p>
    <w:p w:rsidR="0079719F" w:rsidRPr="00AD2AC2" w:rsidRDefault="0079719F" w:rsidP="0079719F">
      <w:pPr>
        <w:spacing w:after="0"/>
        <w:rPr>
          <w:rFonts w:cstheme="minorHAnsi"/>
          <w:sz w:val="24"/>
          <w:szCs w:val="24"/>
          <w:vertAlign w:val="superscript"/>
        </w:rPr>
      </w:pPr>
      <w:r w:rsidRPr="00DB436A">
        <w:rPr>
          <w:rFonts w:cstheme="minorHAnsi"/>
          <w:sz w:val="24"/>
          <w:szCs w:val="24"/>
        </w:rPr>
        <w:t>The original cost was £2500, and the additions will run into £1600.</w:t>
      </w:r>
      <w:r w:rsidR="00AD2AC2">
        <w:rPr>
          <w:rFonts w:cstheme="minorHAnsi"/>
          <w:sz w:val="24"/>
          <w:szCs w:val="24"/>
        </w:rPr>
        <w:t>’</w:t>
      </w:r>
      <w:r w:rsidR="00AD2AC2" w:rsidRPr="00D67C25">
        <w:rPr>
          <w:rFonts w:cstheme="minorHAnsi"/>
          <w:b/>
          <w:sz w:val="24"/>
          <w:szCs w:val="24"/>
          <w:vertAlign w:val="superscript"/>
        </w:rPr>
        <w:t>26</w:t>
      </w:r>
    </w:p>
    <w:p w:rsidR="00AD2AC2" w:rsidRDefault="00AD2AC2" w:rsidP="003D3A50">
      <w:pPr>
        <w:spacing w:after="0"/>
        <w:rPr>
          <w:rFonts w:cstheme="minorHAnsi"/>
          <w:sz w:val="24"/>
          <w:szCs w:val="24"/>
        </w:rPr>
      </w:pPr>
    </w:p>
    <w:p w:rsidR="00D67C25" w:rsidRDefault="00D67C25">
      <w:pPr>
        <w:spacing w:line="259" w:lineRule="auto"/>
        <w:rPr>
          <w:rFonts w:cstheme="minorHAnsi"/>
          <w:sz w:val="24"/>
          <w:szCs w:val="24"/>
        </w:rPr>
      </w:pPr>
      <w:r>
        <w:rPr>
          <w:rFonts w:cstheme="minorHAnsi"/>
          <w:sz w:val="24"/>
          <w:szCs w:val="24"/>
        </w:rPr>
        <w:br w:type="page"/>
      </w:r>
    </w:p>
    <w:p w:rsidR="00DB436A" w:rsidRPr="00DB436A" w:rsidRDefault="00DB436A" w:rsidP="00DB436A">
      <w:pPr>
        <w:spacing w:after="0"/>
        <w:jc w:val="center"/>
        <w:rPr>
          <w:rFonts w:cstheme="minorHAnsi"/>
          <w:b/>
          <w:sz w:val="24"/>
          <w:szCs w:val="24"/>
        </w:rPr>
      </w:pPr>
      <w:r w:rsidRPr="00DB436A">
        <w:rPr>
          <w:rFonts w:cstheme="minorHAnsi"/>
          <w:b/>
          <w:sz w:val="24"/>
          <w:szCs w:val="24"/>
        </w:rPr>
        <w:t>Batlow Cemetery</w:t>
      </w:r>
      <w:r w:rsidR="00132E67">
        <w:rPr>
          <w:rFonts w:cstheme="minorHAnsi"/>
          <w:b/>
          <w:sz w:val="24"/>
          <w:szCs w:val="24"/>
        </w:rPr>
        <w:t xml:space="preserve"> – Nigel Reep Herring, died 16</w:t>
      </w:r>
      <w:r w:rsidR="00132E67" w:rsidRPr="00132E67">
        <w:rPr>
          <w:rFonts w:cstheme="minorHAnsi"/>
          <w:b/>
          <w:sz w:val="24"/>
          <w:szCs w:val="24"/>
          <w:vertAlign w:val="superscript"/>
        </w:rPr>
        <w:t>th</w:t>
      </w:r>
      <w:r w:rsidR="00132E67">
        <w:rPr>
          <w:rFonts w:cstheme="minorHAnsi"/>
          <w:b/>
          <w:sz w:val="24"/>
          <w:szCs w:val="24"/>
        </w:rPr>
        <w:t xml:space="preserve"> June 1953</w:t>
      </w:r>
    </w:p>
    <w:p w:rsidR="00DB436A" w:rsidRDefault="00DB436A" w:rsidP="00DB436A">
      <w:pPr>
        <w:spacing w:after="0"/>
        <w:jc w:val="center"/>
        <w:rPr>
          <w:rFonts w:cstheme="minorHAnsi"/>
          <w:sz w:val="24"/>
          <w:szCs w:val="24"/>
        </w:rPr>
      </w:pPr>
      <w:r>
        <w:rPr>
          <w:noProof/>
          <w:lang w:eastAsia="en-AU"/>
        </w:rPr>
        <w:drawing>
          <wp:inline distT="0" distB="0" distL="0" distR="0" wp14:anchorId="67ED0AAE" wp14:editId="02E732EF">
            <wp:extent cx="3374796" cy="1898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2881" cy="1903199"/>
                    </a:xfrm>
                    <a:prstGeom prst="rect">
                      <a:avLst/>
                    </a:prstGeom>
                  </pic:spPr>
                </pic:pic>
              </a:graphicData>
            </a:graphic>
          </wp:inline>
        </w:drawing>
      </w:r>
    </w:p>
    <w:p w:rsidR="00DB436A" w:rsidRPr="00132E67" w:rsidRDefault="00132E67" w:rsidP="00DB436A">
      <w:pPr>
        <w:spacing w:after="0"/>
        <w:jc w:val="center"/>
        <w:rPr>
          <w:rFonts w:cstheme="minorHAnsi"/>
          <w:b/>
          <w:sz w:val="24"/>
          <w:szCs w:val="24"/>
        </w:rPr>
      </w:pPr>
      <w:r w:rsidRPr="00132E67">
        <w:rPr>
          <w:rFonts w:cstheme="minorHAnsi"/>
          <w:b/>
          <w:sz w:val="24"/>
          <w:szCs w:val="24"/>
        </w:rPr>
        <w:t>Batlow Cemetery – Edgar Maule Herring, died 23</w:t>
      </w:r>
      <w:r w:rsidRPr="00132E67">
        <w:rPr>
          <w:rFonts w:cstheme="minorHAnsi"/>
          <w:b/>
          <w:sz w:val="24"/>
          <w:szCs w:val="24"/>
          <w:vertAlign w:val="superscript"/>
        </w:rPr>
        <w:t>rd</w:t>
      </w:r>
      <w:r w:rsidRPr="00132E67">
        <w:rPr>
          <w:rFonts w:cstheme="minorHAnsi"/>
          <w:b/>
          <w:sz w:val="24"/>
          <w:szCs w:val="24"/>
        </w:rPr>
        <w:t xml:space="preserve"> August 1976</w:t>
      </w:r>
    </w:p>
    <w:p w:rsidR="00DB436A" w:rsidRDefault="00DB436A" w:rsidP="00DB436A">
      <w:pPr>
        <w:spacing w:after="0"/>
        <w:jc w:val="center"/>
        <w:rPr>
          <w:rFonts w:cstheme="minorHAnsi"/>
          <w:sz w:val="24"/>
          <w:szCs w:val="24"/>
        </w:rPr>
      </w:pPr>
      <w:r>
        <w:rPr>
          <w:noProof/>
          <w:lang w:eastAsia="en-AU"/>
        </w:rPr>
        <w:drawing>
          <wp:inline distT="0" distB="0" distL="0" distR="0" wp14:anchorId="13CE443C" wp14:editId="58D6CD28">
            <wp:extent cx="2661484" cy="22669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3372" cy="2268558"/>
                    </a:xfrm>
                    <a:prstGeom prst="rect">
                      <a:avLst/>
                    </a:prstGeom>
                  </pic:spPr>
                </pic:pic>
              </a:graphicData>
            </a:graphic>
          </wp:inline>
        </w:drawing>
      </w:r>
    </w:p>
    <w:p w:rsidR="00132E67" w:rsidRPr="00132E67" w:rsidRDefault="00132E67" w:rsidP="00DB436A">
      <w:pPr>
        <w:spacing w:after="0"/>
        <w:jc w:val="center"/>
        <w:rPr>
          <w:rFonts w:cstheme="minorHAnsi"/>
          <w:b/>
          <w:sz w:val="24"/>
          <w:szCs w:val="24"/>
        </w:rPr>
      </w:pPr>
      <w:r w:rsidRPr="00132E67">
        <w:rPr>
          <w:rFonts w:cstheme="minorHAnsi"/>
          <w:b/>
          <w:sz w:val="24"/>
          <w:szCs w:val="24"/>
        </w:rPr>
        <w:t>Batlow Cemetery – Albert Everard Herring</w:t>
      </w:r>
      <w:r>
        <w:rPr>
          <w:rFonts w:cstheme="minorHAnsi"/>
          <w:b/>
          <w:sz w:val="24"/>
          <w:szCs w:val="24"/>
        </w:rPr>
        <w:t>, died 13</w:t>
      </w:r>
      <w:r w:rsidRPr="00132E67">
        <w:rPr>
          <w:rFonts w:cstheme="minorHAnsi"/>
          <w:b/>
          <w:sz w:val="24"/>
          <w:szCs w:val="24"/>
          <w:vertAlign w:val="superscript"/>
        </w:rPr>
        <w:t>th</w:t>
      </w:r>
      <w:r>
        <w:rPr>
          <w:rFonts w:cstheme="minorHAnsi"/>
          <w:b/>
          <w:sz w:val="24"/>
          <w:szCs w:val="24"/>
        </w:rPr>
        <w:t xml:space="preserve"> April 1967, Plot: CE A4</w:t>
      </w:r>
    </w:p>
    <w:p w:rsidR="00132E67" w:rsidRDefault="00132E67" w:rsidP="00DB436A">
      <w:pPr>
        <w:spacing w:after="0"/>
        <w:jc w:val="center"/>
        <w:rPr>
          <w:rFonts w:cstheme="minorHAnsi"/>
          <w:sz w:val="24"/>
          <w:szCs w:val="24"/>
        </w:rPr>
      </w:pPr>
      <w:r>
        <w:rPr>
          <w:noProof/>
          <w:lang w:eastAsia="en-AU"/>
        </w:rPr>
        <w:drawing>
          <wp:inline distT="0" distB="0" distL="0" distR="0" wp14:anchorId="175CBD0E" wp14:editId="26541158">
            <wp:extent cx="2771775" cy="2066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1775" cy="2066925"/>
                    </a:xfrm>
                    <a:prstGeom prst="rect">
                      <a:avLst/>
                    </a:prstGeom>
                  </pic:spPr>
                </pic:pic>
              </a:graphicData>
            </a:graphic>
          </wp:inline>
        </w:drawing>
      </w:r>
    </w:p>
    <w:p w:rsidR="00DB436A" w:rsidRDefault="00DB436A" w:rsidP="00DB436A">
      <w:pPr>
        <w:spacing w:after="0"/>
        <w:rPr>
          <w:rFonts w:cstheme="minorHAnsi"/>
          <w:sz w:val="24"/>
          <w:szCs w:val="24"/>
        </w:rPr>
      </w:pPr>
    </w:p>
    <w:p w:rsidR="00DB436A" w:rsidRDefault="00DB436A" w:rsidP="00DB436A">
      <w:pPr>
        <w:spacing w:after="0"/>
        <w:rPr>
          <w:rFonts w:cstheme="minorHAnsi"/>
          <w:sz w:val="24"/>
          <w:szCs w:val="24"/>
        </w:rPr>
      </w:pPr>
    </w:p>
    <w:p w:rsidR="00A72551" w:rsidRDefault="00A72551" w:rsidP="001D01B4">
      <w:pPr>
        <w:spacing w:after="0"/>
        <w:rPr>
          <w:bCs/>
          <w:sz w:val="24"/>
          <w:szCs w:val="24"/>
        </w:rPr>
      </w:pPr>
    </w:p>
    <w:p w:rsidR="00EE50A1" w:rsidRDefault="00EE50A1">
      <w:pPr>
        <w:spacing w:line="259" w:lineRule="auto"/>
        <w:rPr>
          <w:bCs/>
          <w:sz w:val="24"/>
          <w:szCs w:val="24"/>
        </w:rPr>
      </w:pPr>
      <w:r>
        <w:rPr>
          <w:bCs/>
          <w:sz w:val="24"/>
          <w:szCs w:val="24"/>
        </w:rPr>
        <w:br w:type="page"/>
      </w:r>
    </w:p>
    <w:p w:rsidR="0079719F" w:rsidRPr="0079719F" w:rsidRDefault="0079719F" w:rsidP="001D01B4">
      <w:pPr>
        <w:spacing w:after="0"/>
        <w:rPr>
          <w:b/>
          <w:bCs/>
          <w:sz w:val="28"/>
          <w:szCs w:val="28"/>
          <w:u w:val="single"/>
        </w:rPr>
      </w:pPr>
      <w:r w:rsidRPr="0079719F">
        <w:rPr>
          <w:b/>
          <w:bCs/>
          <w:sz w:val="28"/>
          <w:szCs w:val="28"/>
          <w:u w:val="single"/>
        </w:rPr>
        <w:t>Bibliography</w:t>
      </w:r>
    </w:p>
    <w:p w:rsidR="0079719F" w:rsidRDefault="0079719F" w:rsidP="001D01B4">
      <w:pPr>
        <w:spacing w:after="0"/>
        <w:rPr>
          <w:bCs/>
          <w:sz w:val="24"/>
          <w:szCs w:val="24"/>
        </w:rPr>
      </w:pPr>
    </w:p>
    <w:p w:rsidR="00BE661B" w:rsidRPr="00EE50A1" w:rsidRDefault="00BE661B" w:rsidP="00EE50A1">
      <w:pPr>
        <w:spacing w:after="60"/>
        <w:rPr>
          <w:color w:val="000000"/>
        </w:rPr>
      </w:pPr>
      <w:r w:rsidRPr="00EE50A1">
        <w:rPr>
          <w:color w:val="000000"/>
          <w:vertAlign w:val="superscript"/>
        </w:rPr>
        <w:t xml:space="preserve">1 </w:t>
      </w:r>
      <w:r w:rsidRPr="00EE50A1">
        <w:rPr>
          <w:color w:val="000000"/>
        </w:rPr>
        <w:t>Sydney Mail and New South Wales Advertiser (NSW: 1871 - 1912), Saturday 4 October 1873, page 453; Ancestry.com</w:t>
      </w:r>
    </w:p>
    <w:p w:rsidR="00BE661B" w:rsidRPr="00EE50A1" w:rsidRDefault="00BE661B" w:rsidP="00EE50A1">
      <w:pPr>
        <w:spacing w:after="60"/>
        <w:rPr>
          <w:rFonts w:cstheme="minorHAnsi"/>
        </w:rPr>
      </w:pPr>
      <w:r w:rsidRPr="00EE50A1">
        <w:rPr>
          <w:rFonts w:cstheme="minorHAnsi"/>
          <w:vertAlign w:val="superscript"/>
        </w:rPr>
        <w:t xml:space="preserve">2 </w:t>
      </w:r>
      <w:r w:rsidRPr="00EE50A1">
        <w:rPr>
          <w:rFonts w:cstheme="minorHAnsi"/>
        </w:rPr>
        <w:t>Ancestry.com; N.S.W. Births Deaths &amp; Marriages, various newspapers</w:t>
      </w:r>
    </w:p>
    <w:p w:rsidR="00BE661B" w:rsidRPr="00EE50A1" w:rsidRDefault="00BE661B" w:rsidP="00EE50A1">
      <w:pPr>
        <w:spacing w:after="60"/>
        <w:rPr>
          <w:rFonts w:cstheme="minorHAnsi"/>
          <w:bCs/>
        </w:rPr>
      </w:pPr>
      <w:r w:rsidRPr="00EE50A1">
        <w:rPr>
          <w:rFonts w:cstheme="minorHAnsi"/>
          <w:bCs/>
          <w:vertAlign w:val="superscript"/>
        </w:rPr>
        <w:t xml:space="preserve">3 </w:t>
      </w:r>
      <w:r w:rsidRPr="00EE50A1">
        <w:rPr>
          <w:rFonts w:cstheme="minorHAnsi"/>
          <w:bCs/>
        </w:rPr>
        <w:t>Windsor and Richmond Gazette, Sat 18 Apr 1891; The Cumberland Mercury, Sat 14 Jan 1893</w:t>
      </w:r>
    </w:p>
    <w:p w:rsidR="00BE661B" w:rsidRPr="00EE50A1" w:rsidRDefault="00BE661B" w:rsidP="00EE50A1">
      <w:pPr>
        <w:tabs>
          <w:tab w:val="left" w:pos="975"/>
        </w:tabs>
        <w:spacing w:after="60"/>
        <w:rPr>
          <w:rFonts w:cstheme="minorHAnsi"/>
          <w:bCs/>
        </w:rPr>
      </w:pPr>
      <w:r w:rsidRPr="00EE50A1">
        <w:rPr>
          <w:rFonts w:cstheme="minorHAnsi"/>
          <w:bCs/>
          <w:vertAlign w:val="superscript"/>
        </w:rPr>
        <w:t xml:space="preserve">4 </w:t>
      </w:r>
      <w:r w:rsidRPr="00EE50A1">
        <w:rPr>
          <w:rFonts w:cstheme="minorHAnsi"/>
          <w:bCs/>
        </w:rPr>
        <w:t>The Cumberland Argus and Fruitgrowers Advocate, Sat 15 Jul 1893</w:t>
      </w:r>
    </w:p>
    <w:p w:rsidR="00BE661B" w:rsidRPr="00EE50A1" w:rsidRDefault="00BE661B" w:rsidP="00EE50A1">
      <w:pPr>
        <w:spacing w:after="60"/>
        <w:rPr>
          <w:rFonts w:cstheme="minorHAnsi"/>
          <w:bCs/>
        </w:rPr>
      </w:pPr>
      <w:r w:rsidRPr="00EE50A1">
        <w:rPr>
          <w:rFonts w:cstheme="minorHAnsi"/>
          <w:bCs/>
          <w:vertAlign w:val="superscript"/>
        </w:rPr>
        <w:t xml:space="preserve">5 </w:t>
      </w:r>
      <w:r w:rsidRPr="00EE50A1">
        <w:rPr>
          <w:rFonts w:cstheme="minorHAnsi"/>
          <w:bCs/>
        </w:rPr>
        <w:t>The Cumberland Argus and Fruitgrowers Advocate, Sat 18 Aug 1894</w:t>
      </w:r>
    </w:p>
    <w:p w:rsidR="00BE661B" w:rsidRPr="00EE50A1" w:rsidRDefault="00BE661B" w:rsidP="00EE50A1">
      <w:pPr>
        <w:spacing w:after="60"/>
        <w:rPr>
          <w:rFonts w:cstheme="minorHAnsi"/>
          <w:bCs/>
        </w:rPr>
      </w:pPr>
      <w:r w:rsidRPr="00EE50A1">
        <w:rPr>
          <w:rFonts w:cstheme="minorHAnsi"/>
          <w:bCs/>
          <w:vertAlign w:val="superscript"/>
        </w:rPr>
        <w:t xml:space="preserve">6 </w:t>
      </w:r>
      <w:r w:rsidRPr="00EE50A1">
        <w:rPr>
          <w:rFonts w:cstheme="minorHAnsi"/>
          <w:bCs/>
        </w:rPr>
        <w:t>The Cumberland Argus and Fruitgrowers Advocate, Sat 21 Nov 1896</w:t>
      </w:r>
    </w:p>
    <w:p w:rsidR="00BE661B" w:rsidRPr="00EE50A1" w:rsidRDefault="00BE661B" w:rsidP="00EE50A1">
      <w:pPr>
        <w:spacing w:after="60"/>
        <w:rPr>
          <w:rFonts w:cstheme="minorHAnsi"/>
          <w:bCs/>
        </w:rPr>
      </w:pPr>
      <w:r w:rsidRPr="00EE50A1">
        <w:rPr>
          <w:rFonts w:cstheme="minorHAnsi"/>
          <w:bCs/>
          <w:vertAlign w:val="superscript"/>
        </w:rPr>
        <w:t xml:space="preserve">7 </w:t>
      </w:r>
      <w:r w:rsidRPr="00EE50A1">
        <w:rPr>
          <w:rFonts w:cstheme="minorHAnsi"/>
          <w:bCs/>
        </w:rPr>
        <w:t>The Daily Telegraph, Sat 9 Oct 1897; The Cumberland Argus and Fruitgrowers Advocate, Sat 16 Oct 1897</w:t>
      </w:r>
    </w:p>
    <w:p w:rsidR="00BE661B" w:rsidRPr="00EE50A1" w:rsidRDefault="00BE661B" w:rsidP="00EE50A1">
      <w:pPr>
        <w:spacing w:after="60"/>
        <w:rPr>
          <w:rFonts w:cstheme="minorHAnsi"/>
          <w:bCs/>
        </w:rPr>
      </w:pPr>
      <w:r w:rsidRPr="00EE50A1">
        <w:rPr>
          <w:rFonts w:cstheme="minorHAnsi"/>
          <w:bCs/>
          <w:vertAlign w:val="superscript"/>
        </w:rPr>
        <w:t xml:space="preserve">8 </w:t>
      </w:r>
      <w:r w:rsidRPr="00EE50A1">
        <w:rPr>
          <w:rFonts w:cstheme="minorHAnsi"/>
          <w:bCs/>
        </w:rPr>
        <w:t>The Cumberland Argus and Fruitgrowers Advocate, Sat 4 Feb 1899; The Cumberland Argus and Fruitgrowers Advocate, Sat 2 Dec 1899</w:t>
      </w:r>
    </w:p>
    <w:p w:rsidR="00BE661B" w:rsidRPr="00EE50A1" w:rsidRDefault="00BE661B" w:rsidP="00EE50A1">
      <w:pPr>
        <w:spacing w:after="60"/>
        <w:rPr>
          <w:rFonts w:cstheme="minorHAnsi"/>
          <w:bCs/>
        </w:rPr>
      </w:pPr>
      <w:r w:rsidRPr="00EE50A1">
        <w:rPr>
          <w:rFonts w:cstheme="minorHAnsi"/>
          <w:bCs/>
          <w:vertAlign w:val="superscript"/>
        </w:rPr>
        <w:t xml:space="preserve">9 </w:t>
      </w:r>
      <w:r w:rsidRPr="00EE50A1">
        <w:rPr>
          <w:rFonts w:cstheme="minorHAnsi"/>
          <w:bCs/>
        </w:rPr>
        <w:t>The Cumberland Argus and Fruitgrowers Advocate, Sat 4 Aug 1900</w:t>
      </w:r>
    </w:p>
    <w:p w:rsidR="00BE661B" w:rsidRPr="00EE50A1" w:rsidRDefault="00BE661B" w:rsidP="00EE50A1">
      <w:pPr>
        <w:spacing w:after="60"/>
        <w:rPr>
          <w:rFonts w:cstheme="minorHAnsi"/>
          <w:bCs/>
        </w:rPr>
      </w:pPr>
      <w:r w:rsidRPr="00EE50A1">
        <w:rPr>
          <w:rFonts w:cstheme="minorHAnsi"/>
          <w:bCs/>
          <w:vertAlign w:val="superscript"/>
        </w:rPr>
        <w:t xml:space="preserve">10 </w:t>
      </w:r>
      <w:r w:rsidRPr="00EE50A1">
        <w:rPr>
          <w:rFonts w:cstheme="minorHAnsi"/>
          <w:bCs/>
        </w:rPr>
        <w:t>The Cumberland Argus and Fruitgrowers Advocate, Sat 20 Apr 1901</w:t>
      </w:r>
    </w:p>
    <w:p w:rsidR="00BE661B" w:rsidRPr="00EE50A1" w:rsidRDefault="00BE661B" w:rsidP="00EE50A1">
      <w:pPr>
        <w:spacing w:after="60"/>
        <w:rPr>
          <w:rFonts w:cstheme="minorHAnsi"/>
          <w:bCs/>
        </w:rPr>
      </w:pPr>
      <w:r w:rsidRPr="00EE50A1">
        <w:rPr>
          <w:rFonts w:cstheme="minorHAnsi"/>
          <w:bCs/>
          <w:vertAlign w:val="superscript"/>
        </w:rPr>
        <w:t xml:space="preserve">11 </w:t>
      </w:r>
      <w:r w:rsidRPr="00EE50A1">
        <w:rPr>
          <w:rFonts w:cstheme="minorHAnsi"/>
          <w:bCs/>
        </w:rPr>
        <w:t>Evening News, Mon 16 Mar 1903; The Sydney Morning Herald, Fri 15 Nov 1912</w:t>
      </w:r>
    </w:p>
    <w:p w:rsidR="00BE661B" w:rsidRPr="00EE50A1" w:rsidRDefault="00BE661B" w:rsidP="00EE50A1">
      <w:pPr>
        <w:spacing w:after="60"/>
        <w:rPr>
          <w:rFonts w:cstheme="minorHAnsi"/>
          <w:bCs/>
        </w:rPr>
      </w:pPr>
      <w:r w:rsidRPr="00EE50A1">
        <w:rPr>
          <w:rFonts w:cstheme="minorHAnsi"/>
          <w:bCs/>
          <w:vertAlign w:val="superscript"/>
        </w:rPr>
        <w:t xml:space="preserve">12 </w:t>
      </w:r>
      <w:r w:rsidRPr="00EE50A1">
        <w:rPr>
          <w:rFonts w:cstheme="minorHAnsi"/>
          <w:bCs/>
        </w:rPr>
        <w:t>The Cumberland Argus and Fruitgrowers Advocate, Sat 25 Apr 1903</w:t>
      </w:r>
    </w:p>
    <w:p w:rsidR="00BE661B" w:rsidRPr="00EE50A1" w:rsidRDefault="00BE661B" w:rsidP="00EE50A1">
      <w:pPr>
        <w:spacing w:after="60"/>
        <w:rPr>
          <w:rFonts w:cstheme="minorHAnsi"/>
          <w:bCs/>
        </w:rPr>
      </w:pPr>
      <w:r w:rsidRPr="00EE50A1">
        <w:rPr>
          <w:rFonts w:cstheme="minorHAnsi"/>
          <w:bCs/>
          <w:vertAlign w:val="superscript"/>
        </w:rPr>
        <w:t xml:space="preserve">13 </w:t>
      </w:r>
      <w:r w:rsidRPr="00EE50A1">
        <w:rPr>
          <w:rFonts w:cstheme="minorHAnsi"/>
          <w:bCs/>
        </w:rPr>
        <w:t>The Cumberland Argus and Fruitgrowers Advocate, Sat 6 Jul 1907; The Cumberland Argus and Fruitgrowers Advocate, Sat 21 Sep 1907</w:t>
      </w:r>
    </w:p>
    <w:p w:rsidR="00EE50A1" w:rsidRPr="00EE50A1" w:rsidRDefault="00EE50A1" w:rsidP="00EE50A1">
      <w:pPr>
        <w:spacing w:after="60"/>
        <w:rPr>
          <w:rFonts w:cstheme="minorHAnsi"/>
          <w:bCs/>
        </w:rPr>
      </w:pPr>
      <w:r w:rsidRPr="00EE50A1">
        <w:rPr>
          <w:rFonts w:cstheme="minorHAnsi"/>
          <w:bCs/>
          <w:vertAlign w:val="superscript"/>
        </w:rPr>
        <w:t xml:space="preserve">14 </w:t>
      </w:r>
      <w:r w:rsidRPr="00EE50A1">
        <w:rPr>
          <w:rFonts w:cstheme="minorHAnsi"/>
          <w:bCs/>
        </w:rPr>
        <w:t>The Sydney Morning Herald, Mon 28 Oct 1907</w:t>
      </w:r>
    </w:p>
    <w:p w:rsidR="00EE50A1" w:rsidRPr="00EE50A1" w:rsidRDefault="00EE50A1" w:rsidP="00EE50A1">
      <w:pPr>
        <w:spacing w:after="60"/>
        <w:rPr>
          <w:rFonts w:cstheme="minorHAnsi"/>
          <w:bCs/>
        </w:rPr>
      </w:pPr>
      <w:r w:rsidRPr="00EE50A1">
        <w:rPr>
          <w:rFonts w:cstheme="minorHAnsi"/>
          <w:bCs/>
          <w:vertAlign w:val="superscript"/>
        </w:rPr>
        <w:t xml:space="preserve">15 </w:t>
      </w:r>
      <w:r w:rsidRPr="00EE50A1">
        <w:rPr>
          <w:rFonts w:cstheme="minorHAnsi"/>
          <w:bCs/>
        </w:rPr>
        <w:t>The Cumberland Argus and Fruitgrowers Advocate, Sat 30 May 1908; The Cumberland Argus and Fruitgrowers Advocate, Sat 20 Feb 1909; The Sydney Morning Herald, Sat 14 May 1910; The Cumberland Argus and Fruitgrowers Advocate, Sat 12 Aug 1911; The Sydney Morning Herald, Fri 15 Nov 1912</w:t>
      </w:r>
    </w:p>
    <w:p w:rsidR="00EE50A1" w:rsidRPr="00EE50A1" w:rsidRDefault="00EE50A1" w:rsidP="00EE50A1">
      <w:pPr>
        <w:spacing w:after="60"/>
        <w:rPr>
          <w:rFonts w:cstheme="minorHAnsi"/>
          <w:bCs/>
        </w:rPr>
      </w:pPr>
      <w:r w:rsidRPr="00EE50A1">
        <w:rPr>
          <w:rFonts w:cstheme="minorHAnsi"/>
          <w:bCs/>
          <w:vertAlign w:val="superscript"/>
        </w:rPr>
        <w:t xml:space="preserve">16 </w:t>
      </w:r>
      <w:r w:rsidRPr="00EE50A1">
        <w:rPr>
          <w:rFonts w:cstheme="minorHAnsi"/>
          <w:bCs/>
        </w:rPr>
        <w:t>The Cumberland Argus and Fruitgrowers Advocate, Sat 9 Aug 1913</w:t>
      </w:r>
    </w:p>
    <w:p w:rsidR="00EE50A1" w:rsidRPr="00EE50A1" w:rsidRDefault="00EE50A1" w:rsidP="00EE50A1">
      <w:pPr>
        <w:spacing w:after="60"/>
        <w:rPr>
          <w:rFonts w:cstheme="minorHAnsi"/>
          <w:bCs/>
        </w:rPr>
      </w:pPr>
      <w:r w:rsidRPr="00EE50A1">
        <w:rPr>
          <w:rFonts w:cstheme="minorHAnsi"/>
          <w:bCs/>
          <w:vertAlign w:val="superscript"/>
        </w:rPr>
        <w:t xml:space="preserve">17 </w:t>
      </w:r>
      <w:r w:rsidRPr="00EE50A1">
        <w:rPr>
          <w:rFonts w:cstheme="minorHAnsi"/>
          <w:bCs/>
        </w:rPr>
        <w:t>The Sydney Morning Herald, Mon 15 Sep 1913</w:t>
      </w:r>
    </w:p>
    <w:p w:rsidR="00EE50A1" w:rsidRPr="00EE50A1" w:rsidRDefault="00EE50A1" w:rsidP="00EE50A1">
      <w:pPr>
        <w:spacing w:after="60"/>
        <w:rPr>
          <w:rFonts w:cstheme="minorHAnsi"/>
          <w:bCs/>
        </w:rPr>
      </w:pPr>
      <w:r w:rsidRPr="00EE50A1">
        <w:rPr>
          <w:rFonts w:cstheme="minorHAnsi"/>
          <w:bCs/>
          <w:vertAlign w:val="superscript"/>
        </w:rPr>
        <w:t xml:space="preserve">18 </w:t>
      </w:r>
      <w:r w:rsidRPr="00EE50A1">
        <w:rPr>
          <w:rFonts w:cstheme="minorHAnsi"/>
          <w:bCs/>
        </w:rPr>
        <w:t>The Daily Telegraph, Fri 5 Dec 1913</w:t>
      </w:r>
    </w:p>
    <w:p w:rsidR="00EE50A1" w:rsidRPr="00EE50A1" w:rsidRDefault="00EE50A1" w:rsidP="00EE50A1">
      <w:pPr>
        <w:spacing w:after="60"/>
        <w:rPr>
          <w:rFonts w:cstheme="minorHAnsi"/>
          <w:bCs/>
        </w:rPr>
      </w:pPr>
      <w:r w:rsidRPr="00EE50A1">
        <w:rPr>
          <w:rFonts w:cstheme="minorHAnsi"/>
          <w:bCs/>
          <w:vertAlign w:val="superscript"/>
        </w:rPr>
        <w:t xml:space="preserve">19 </w:t>
      </w:r>
      <w:r w:rsidRPr="00EE50A1">
        <w:rPr>
          <w:rFonts w:cstheme="minorHAnsi"/>
          <w:bCs/>
        </w:rPr>
        <w:t>The Sydney Morning Herald, Sat 20 Jun 1914</w:t>
      </w:r>
    </w:p>
    <w:p w:rsidR="00EE50A1" w:rsidRPr="00EE50A1" w:rsidRDefault="00EE50A1" w:rsidP="00EE50A1">
      <w:pPr>
        <w:spacing w:after="60"/>
        <w:rPr>
          <w:rFonts w:cstheme="minorHAnsi"/>
          <w:bCs/>
        </w:rPr>
      </w:pPr>
      <w:r w:rsidRPr="00EE50A1">
        <w:rPr>
          <w:rFonts w:cstheme="minorHAnsi"/>
          <w:bCs/>
          <w:vertAlign w:val="superscript"/>
        </w:rPr>
        <w:t xml:space="preserve">20 </w:t>
      </w:r>
      <w:r w:rsidRPr="00EE50A1">
        <w:rPr>
          <w:rFonts w:cstheme="minorHAnsi"/>
          <w:bCs/>
        </w:rPr>
        <w:t>The Sun, Wed 13 Feb 1918</w:t>
      </w:r>
    </w:p>
    <w:p w:rsidR="00EE50A1" w:rsidRPr="00EE50A1" w:rsidRDefault="00EE50A1" w:rsidP="00EE50A1">
      <w:pPr>
        <w:spacing w:after="60"/>
        <w:rPr>
          <w:rFonts w:cstheme="minorHAnsi"/>
          <w:bCs/>
        </w:rPr>
      </w:pPr>
      <w:r w:rsidRPr="00EE50A1">
        <w:rPr>
          <w:rFonts w:cstheme="minorHAnsi"/>
          <w:bCs/>
          <w:vertAlign w:val="superscript"/>
        </w:rPr>
        <w:t xml:space="preserve">21 </w:t>
      </w:r>
      <w:r w:rsidRPr="00EE50A1">
        <w:rPr>
          <w:rFonts w:cstheme="minorHAnsi"/>
          <w:bCs/>
        </w:rPr>
        <w:t>The Daily Telegraph, Sat 8 Mar 1919; The Cumberland Argus and Fruitgrowers Advocate, Sat 29 Mar 1919</w:t>
      </w:r>
    </w:p>
    <w:p w:rsidR="00EE50A1" w:rsidRPr="00EE50A1" w:rsidRDefault="00EE50A1" w:rsidP="00EE50A1">
      <w:pPr>
        <w:spacing w:after="60"/>
        <w:rPr>
          <w:rFonts w:cstheme="minorHAnsi"/>
          <w:bCs/>
        </w:rPr>
      </w:pPr>
      <w:r w:rsidRPr="00EE50A1">
        <w:rPr>
          <w:rFonts w:cstheme="minorHAnsi"/>
          <w:bCs/>
          <w:vertAlign w:val="superscript"/>
        </w:rPr>
        <w:t xml:space="preserve">22 </w:t>
      </w:r>
      <w:r w:rsidRPr="00EE50A1">
        <w:rPr>
          <w:rFonts w:cstheme="minorHAnsi"/>
          <w:bCs/>
        </w:rPr>
        <w:t>The Tumut and Adelong Times, Thu 28 Aug 1919</w:t>
      </w:r>
    </w:p>
    <w:p w:rsidR="00EE50A1" w:rsidRPr="00EE50A1" w:rsidRDefault="00EE50A1" w:rsidP="00EE50A1">
      <w:pPr>
        <w:spacing w:after="60"/>
        <w:rPr>
          <w:rFonts w:cstheme="minorHAnsi"/>
          <w:bCs/>
        </w:rPr>
      </w:pPr>
      <w:r w:rsidRPr="00EE50A1">
        <w:rPr>
          <w:rFonts w:cstheme="minorHAnsi"/>
          <w:bCs/>
          <w:vertAlign w:val="superscript"/>
        </w:rPr>
        <w:t xml:space="preserve">23 </w:t>
      </w:r>
      <w:r w:rsidRPr="00EE50A1">
        <w:rPr>
          <w:rFonts w:cstheme="minorHAnsi"/>
          <w:bCs/>
        </w:rPr>
        <w:t>The Sydney Morning Herald, Sat 13 Sep 1919</w:t>
      </w:r>
    </w:p>
    <w:p w:rsidR="00EE50A1" w:rsidRPr="00EE50A1" w:rsidRDefault="00EE50A1" w:rsidP="00EE50A1">
      <w:pPr>
        <w:spacing w:after="60"/>
        <w:rPr>
          <w:rFonts w:cstheme="minorHAnsi"/>
          <w:bCs/>
        </w:rPr>
      </w:pPr>
      <w:r w:rsidRPr="00EE50A1">
        <w:rPr>
          <w:rFonts w:cstheme="minorHAnsi"/>
          <w:bCs/>
          <w:vertAlign w:val="superscript"/>
        </w:rPr>
        <w:t xml:space="preserve">24 </w:t>
      </w:r>
      <w:r w:rsidRPr="00EE50A1">
        <w:rPr>
          <w:rFonts w:cstheme="minorHAnsi"/>
          <w:bCs/>
        </w:rPr>
        <w:t>The Sydney Morning Herald, Sat 7 Jan 1922</w:t>
      </w:r>
    </w:p>
    <w:p w:rsidR="00EE50A1" w:rsidRPr="00EE50A1" w:rsidRDefault="00EE50A1" w:rsidP="00EE50A1">
      <w:pPr>
        <w:spacing w:after="60"/>
        <w:rPr>
          <w:rFonts w:cstheme="minorHAnsi"/>
          <w:bCs/>
        </w:rPr>
      </w:pPr>
      <w:r w:rsidRPr="00EE50A1">
        <w:rPr>
          <w:rFonts w:cstheme="minorHAnsi"/>
          <w:bCs/>
          <w:vertAlign w:val="superscript"/>
        </w:rPr>
        <w:t xml:space="preserve">25 </w:t>
      </w:r>
      <w:r w:rsidRPr="00EE50A1">
        <w:rPr>
          <w:rFonts w:cstheme="minorHAnsi"/>
          <w:bCs/>
        </w:rPr>
        <w:t>The Daily Telegraph, Sat 9 Sep 1922</w:t>
      </w:r>
    </w:p>
    <w:p w:rsidR="00EE50A1" w:rsidRPr="00EE50A1" w:rsidRDefault="00EE50A1" w:rsidP="00EE50A1">
      <w:pPr>
        <w:spacing w:after="0"/>
        <w:rPr>
          <w:bCs/>
        </w:rPr>
      </w:pPr>
      <w:r w:rsidRPr="00EE50A1">
        <w:rPr>
          <w:bCs/>
          <w:vertAlign w:val="superscript"/>
        </w:rPr>
        <w:t xml:space="preserve">26 </w:t>
      </w:r>
      <w:r w:rsidRPr="00EE50A1">
        <w:rPr>
          <w:bCs/>
        </w:rPr>
        <w:t>The Daily Telegraph, Fri 9 May 1924</w:t>
      </w:r>
    </w:p>
    <w:p w:rsidR="00BD72B2" w:rsidRPr="00BD72B2" w:rsidRDefault="00BD72B2" w:rsidP="00714199">
      <w:pPr>
        <w:spacing w:after="0"/>
        <w:rPr>
          <w:bCs/>
          <w:sz w:val="24"/>
          <w:szCs w:val="24"/>
        </w:rPr>
      </w:pPr>
    </w:p>
    <w:p w:rsidR="00D67C25" w:rsidRPr="00A300D4" w:rsidRDefault="00D67C25" w:rsidP="006D40FA">
      <w:pPr>
        <w:spacing w:after="0"/>
      </w:pPr>
      <w:r w:rsidRPr="00A300D4">
        <w:rPr>
          <w:b/>
          <w:bCs/>
        </w:rPr>
        <w:t>NOTE</w:t>
      </w:r>
      <w:r w:rsidRPr="00A300D4">
        <w:t xml:space="preserve">: Additional information contained within Beecroft Cheltenham History Group website and book ‘Beecroft and Cheltenham, </w:t>
      </w:r>
      <w:r>
        <w:t>t</w:t>
      </w:r>
      <w:r w:rsidRPr="00A300D4">
        <w:t>he Shaping of a Sydney Community to 1914’.</w:t>
      </w:r>
    </w:p>
    <w:p w:rsidR="003F7BD8" w:rsidRDefault="003F7BD8" w:rsidP="00D76B69">
      <w:pPr>
        <w:spacing w:after="0"/>
      </w:pPr>
    </w:p>
    <w:p w:rsidR="003F7BD8" w:rsidRDefault="003F7BD8" w:rsidP="00D76B69">
      <w:pPr>
        <w:spacing w:after="0"/>
      </w:pPr>
    </w:p>
    <w:p w:rsidR="003F7BD8" w:rsidRDefault="003F7BD8" w:rsidP="00D76B69">
      <w:pPr>
        <w:spacing w:after="0"/>
      </w:pPr>
    </w:p>
    <w:p w:rsidR="003F7BD8" w:rsidRPr="00D76B69" w:rsidRDefault="003F7BD8" w:rsidP="00D76B69">
      <w:pPr>
        <w:spacing w:after="0"/>
      </w:pPr>
    </w:p>
    <w:sectPr w:rsidR="003F7BD8" w:rsidRPr="00D76B69">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19F" w:rsidRDefault="0079719F" w:rsidP="0079719F">
      <w:pPr>
        <w:spacing w:after="0" w:line="240" w:lineRule="auto"/>
      </w:pPr>
      <w:r>
        <w:separator/>
      </w:r>
    </w:p>
  </w:endnote>
  <w:endnote w:type="continuationSeparator" w:id="0">
    <w:p w:rsidR="0079719F" w:rsidRDefault="0079719F" w:rsidP="00797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3180804"/>
      <w:docPartObj>
        <w:docPartGallery w:val="Page Numbers (Bottom of Page)"/>
        <w:docPartUnique/>
      </w:docPartObj>
    </w:sdtPr>
    <w:sdtEndPr>
      <w:rPr>
        <w:noProof/>
      </w:rPr>
    </w:sdtEndPr>
    <w:sdtContent>
      <w:p w:rsidR="0079719F" w:rsidRDefault="0079719F">
        <w:pPr>
          <w:pStyle w:val="Footer"/>
          <w:jc w:val="right"/>
        </w:pPr>
        <w:r>
          <w:fldChar w:fldCharType="begin"/>
        </w:r>
        <w:r>
          <w:instrText xml:space="preserve"> PAGE   \* MERGEFORMAT </w:instrText>
        </w:r>
        <w:r>
          <w:fldChar w:fldCharType="separate"/>
        </w:r>
        <w:r w:rsidR="00BC0BE2">
          <w:rPr>
            <w:noProof/>
          </w:rPr>
          <w:t>1</w:t>
        </w:r>
        <w:r>
          <w:rPr>
            <w:noProof/>
          </w:rPr>
          <w:fldChar w:fldCharType="end"/>
        </w:r>
      </w:p>
    </w:sdtContent>
  </w:sdt>
  <w:p w:rsidR="0079719F" w:rsidRDefault="007971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19F" w:rsidRDefault="0079719F" w:rsidP="0079719F">
      <w:pPr>
        <w:spacing w:after="0" w:line="240" w:lineRule="auto"/>
      </w:pPr>
      <w:r>
        <w:separator/>
      </w:r>
    </w:p>
  </w:footnote>
  <w:footnote w:type="continuationSeparator" w:id="0">
    <w:p w:rsidR="0079719F" w:rsidRDefault="0079719F" w:rsidP="007971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EEB"/>
    <w:rsid w:val="00132E67"/>
    <w:rsid w:val="00175EEB"/>
    <w:rsid w:val="001D01B4"/>
    <w:rsid w:val="001F5D12"/>
    <w:rsid w:val="003D3A50"/>
    <w:rsid w:val="003F7BD8"/>
    <w:rsid w:val="004355BB"/>
    <w:rsid w:val="006C6856"/>
    <w:rsid w:val="006D40FA"/>
    <w:rsid w:val="00714199"/>
    <w:rsid w:val="00742DDB"/>
    <w:rsid w:val="0079719F"/>
    <w:rsid w:val="008021B3"/>
    <w:rsid w:val="00A72551"/>
    <w:rsid w:val="00AD2AC2"/>
    <w:rsid w:val="00BC0BE2"/>
    <w:rsid w:val="00BD72B2"/>
    <w:rsid w:val="00BE661B"/>
    <w:rsid w:val="00D34A0D"/>
    <w:rsid w:val="00D67C25"/>
    <w:rsid w:val="00D76B69"/>
    <w:rsid w:val="00DB436A"/>
    <w:rsid w:val="00E72D04"/>
    <w:rsid w:val="00EE5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3E02A7-4FC7-40BA-9649-8A8FD2E4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1B3"/>
    <w:pPr>
      <w:spacing w:line="254" w:lineRule="auto"/>
    </w:pPr>
  </w:style>
  <w:style w:type="paragraph" w:styleId="Heading2">
    <w:name w:val="heading 2"/>
    <w:basedOn w:val="Normal"/>
    <w:next w:val="Normal"/>
    <w:link w:val="Heading2Char"/>
    <w:uiPriority w:val="9"/>
    <w:semiHidden/>
    <w:unhideWhenUsed/>
    <w:qFormat/>
    <w:rsid w:val="008021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021B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971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719F"/>
  </w:style>
  <w:style w:type="paragraph" w:styleId="Footer">
    <w:name w:val="footer"/>
    <w:basedOn w:val="Normal"/>
    <w:link w:val="FooterChar"/>
    <w:uiPriority w:val="99"/>
    <w:unhideWhenUsed/>
    <w:rsid w:val="007971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7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31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7</Pages>
  <Words>1966</Words>
  <Characters>11211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dc:creator>
  <cp:keywords/>
  <dc:description/>
  <cp:lastModifiedBy>Warren</cp:lastModifiedBy>
  <cp:revision>6</cp:revision>
  <dcterms:created xsi:type="dcterms:W3CDTF">2024-06-23T14:38:00Z</dcterms:created>
  <dcterms:modified xsi:type="dcterms:W3CDTF">2024-06-24T12:37:00Z</dcterms:modified>
</cp:coreProperties>
</file>